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D46887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proofErr w:type="spellStart"/>
      <w:r w:rsidR="00D46887">
        <w:rPr>
          <w:rFonts w:ascii="Times New Roman" w:hAnsi="Times New Roman" w:cs="Times New Roman"/>
          <w:b/>
          <w:sz w:val="24"/>
          <w:szCs w:val="24"/>
        </w:rPr>
        <w:t>IInd</w:t>
      </w:r>
      <w:proofErr w:type="spellEnd"/>
      <w:r w:rsidR="005D1DB4">
        <w:rPr>
          <w:rFonts w:ascii="Times New Roman" w:hAnsi="Times New Roman" w:cs="Times New Roman"/>
          <w:b/>
          <w:sz w:val="24"/>
          <w:szCs w:val="24"/>
        </w:rPr>
        <w:t>, M.Sc. Zoology</w:t>
      </w:r>
      <w:r>
        <w:rPr>
          <w:rFonts w:ascii="Times New Roman" w:hAnsi="Times New Roman" w:cs="Times New Roman"/>
          <w:b/>
          <w:sz w:val="24"/>
          <w:szCs w:val="24"/>
        </w:rPr>
        <w:t>, 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D15FA3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040" w:type="dxa"/>
        <w:jc w:val="center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  <w:gridCol w:w="960"/>
      </w:tblGrid>
      <w:tr w:rsidR="0005202A" w:rsidRPr="0005202A" w:rsidTr="006469C8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05202A" w:rsidRPr="0005202A" w:rsidTr="0005202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05202A" w:rsidRPr="0005202A" w:rsidTr="0005202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</w:tr>
      <w:tr w:rsidR="0005202A" w:rsidRPr="0005202A" w:rsidTr="0005202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</w:tr>
      <w:tr w:rsidR="0005202A" w:rsidRPr="0005202A" w:rsidTr="0005202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</w:tr>
      <w:tr w:rsidR="0005202A" w:rsidRPr="0005202A" w:rsidTr="0005202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651</w:t>
            </w:r>
          </w:p>
        </w:tc>
      </w:tr>
    </w:tbl>
    <w:p w:rsidR="0005202A" w:rsidRDefault="0005202A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71EC2" w:rsidRDefault="00971EC2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040" w:type="dxa"/>
        <w:jc w:val="center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  <w:gridCol w:w="960"/>
      </w:tblGrid>
      <w:tr w:rsidR="0005202A" w:rsidRPr="0005202A" w:rsidTr="006469C8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05202A" w:rsidRPr="0005202A" w:rsidTr="0005202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05202A" w:rsidRPr="0005202A" w:rsidTr="0005202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05202A" w:rsidRPr="0005202A" w:rsidTr="0005202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05202A" w:rsidRPr="0005202A" w:rsidTr="0005202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05202A" w:rsidRPr="0005202A" w:rsidTr="0005202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2A" w:rsidRPr="0005202A" w:rsidRDefault="0005202A" w:rsidP="000520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202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447BF3" w:rsidRDefault="00447BF3" w:rsidP="00971EC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EC2" w:rsidRDefault="0005202A" w:rsidP="005C360D">
      <w:pPr>
        <w:tabs>
          <w:tab w:val="left" w:pos="944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152030" cy="1965278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SUB1</w:t>
      </w:r>
    </w:p>
    <w:p w:rsidR="00F44D0A" w:rsidRDefault="0005202A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F44D0A" w:rsidRPr="00B42408" w:rsidRDefault="0005202A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44D0A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F44D0A" w:rsidRPr="00236F1C" w:rsidRDefault="0005202A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F44D0A">
        <w:rPr>
          <w:rFonts w:ascii="Times New Roman" w:hAnsi="Times New Roman" w:cs="Times New Roman"/>
          <w:sz w:val="24"/>
          <w:szCs w:val="24"/>
        </w:rPr>
        <w:t>SUB1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A3330" w:rsidRPr="00236F1C" w:rsidRDefault="0005202A" w:rsidP="00EA33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A3330">
        <w:rPr>
          <w:rFonts w:ascii="Times New Roman" w:hAnsi="Times New Roman" w:cs="Times New Roman"/>
          <w:sz w:val="24"/>
          <w:szCs w:val="24"/>
        </w:rPr>
        <w:t>SUB1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F44D0A" w:rsidRDefault="00F44D0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4D0A" w:rsidRDefault="00F44D0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59FB">
        <w:rPr>
          <w:b/>
          <w:noProof/>
          <w:sz w:val="24"/>
          <w:szCs w:val="24"/>
          <w:lang w:val="en-IN" w:eastAsia="en-IN"/>
        </w:rPr>
        <w:t>SUB2</w:t>
      </w:r>
    </w:p>
    <w:p w:rsidR="00EF6553" w:rsidRDefault="00EF6553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5D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students have</w:t>
      </w:r>
      <w:r w:rsidR="001368E5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285D7A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1368E5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EF6553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368E5"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F6553" w:rsidRPr="00236F1C" w:rsidRDefault="00285D7A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368E5">
        <w:rPr>
          <w:rFonts w:ascii="Times New Roman" w:hAnsi="Times New Roman" w:cs="Times New Roman"/>
          <w:sz w:val="24"/>
          <w:szCs w:val="24"/>
        </w:rPr>
        <w:t>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SUB3</w:t>
      </w:r>
    </w:p>
    <w:p w:rsidR="00AB0E1A" w:rsidRDefault="00F52C7F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SUB3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F52C7F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F52C7F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F52C7F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SUB4</w:t>
      </w:r>
    </w:p>
    <w:p w:rsidR="00AB0E1A" w:rsidRDefault="00F52C7F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70C58">
        <w:rPr>
          <w:rFonts w:ascii="Times New Roman" w:hAnsi="Times New Roman" w:cs="Times New Roman"/>
          <w:sz w:val="24"/>
          <w:szCs w:val="24"/>
        </w:rPr>
        <w:t xml:space="preserve">%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F52C7F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F52C7F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F52C7F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lastRenderedPageBreak/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F52C7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F52C7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E3D74">
        <w:rPr>
          <w:rFonts w:ascii="Times New Roman" w:hAnsi="Times New Roman" w:cs="Times New Roman"/>
          <w:sz w:val="24"/>
          <w:szCs w:val="24"/>
        </w:rPr>
        <w:t xml:space="preserve">% </w:t>
      </w:r>
      <w:r w:rsidR="00076D43"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70C5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3D74">
        <w:rPr>
          <w:rFonts w:ascii="Times New Roman" w:hAnsi="Times New Roman" w:cs="Times New Roman"/>
          <w:sz w:val="24"/>
          <w:szCs w:val="24"/>
        </w:rPr>
        <w:t>7</w:t>
      </w:r>
      <w:r w:rsidR="001C132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F52C7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1C132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D27E13" w:rsidRDefault="00D27E13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6469C8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6469C8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6469C8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040" w:type="dxa"/>
        <w:jc w:val="center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  <w:gridCol w:w="960"/>
      </w:tblGrid>
      <w:tr w:rsidR="00D57EC8" w:rsidRPr="00D57EC8" w:rsidTr="006469C8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D57EC8" w:rsidRPr="00D57EC8" w:rsidTr="00D57EC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D57EC8" w:rsidRPr="00D57EC8" w:rsidTr="00D57EC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</w:tr>
      <w:tr w:rsidR="00D57EC8" w:rsidRPr="00D57EC8" w:rsidTr="00D57EC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</w:tr>
      <w:tr w:rsidR="00D57EC8" w:rsidRPr="00D57EC8" w:rsidTr="00D57EC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</w:tr>
      <w:tr w:rsidR="00D57EC8" w:rsidRPr="00D57EC8" w:rsidTr="00D57EC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651</w:t>
            </w:r>
          </w:p>
        </w:tc>
      </w:tr>
    </w:tbl>
    <w:p w:rsidR="00D72A3A" w:rsidRDefault="00D72A3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5C360D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040" w:type="dxa"/>
        <w:jc w:val="center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  <w:gridCol w:w="960"/>
      </w:tblGrid>
      <w:tr w:rsidR="00D57EC8" w:rsidRPr="00D57EC8" w:rsidTr="006469C8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D57EC8" w:rsidRPr="00D57EC8" w:rsidTr="00D57EC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D57EC8" w:rsidRPr="00D57EC8" w:rsidTr="00D57EC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57EC8" w:rsidRPr="00D57EC8" w:rsidTr="00D57EC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D57EC8" w:rsidRPr="00D57EC8" w:rsidTr="00D57EC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D57EC8" w:rsidRPr="00D57EC8" w:rsidTr="00D57EC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C8" w:rsidRPr="00D57EC8" w:rsidRDefault="00D57EC8" w:rsidP="00D57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EC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5C360D" w:rsidRDefault="005C360D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D57EC8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950424" cy="1883391"/>
            <wp:effectExtent l="0" t="0" r="0" b="31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56AB" w:rsidRDefault="004556A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556AB" w:rsidRDefault="00AB0B42" w:rsidP="007B06BC">
      <w:pPr>
        <w:tabs>
          <w:tab w:val="left" w:pos="944"/>
        </w:tabs>
        <w:spacing w:after="0" w:line="36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2962B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Sub1</w:t>
      </w:r>
      <w:r w:rsidR="00FE0A97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D57EC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46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F25CB0">
        <w:rPr>
          <w:rFonts w:ascii="Times New Roman" w:hAnsi="Times New Roman" w:cs="Times New Roman"/>
          <w:sz w:val="24"/>
          <w:szCs w:val="24"/>
        </w:rPr>
        <w:t xml:space="preserve">  average</w:t>
      </w:r>
    </w:p>
    <w:p w:rsidR="00BA70BF" w:rsidRPr="00D549BA" w:rsidRDefault="00D57EC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2F46">
        <w:rPr>
          <w:rFonts w:ascii="Times New Roman" w:hAnsi="Times New Roman" w:cs="Times New Roman"/>
          <w:sz w:val="24"/>
          <w:szCs w:val="24"/>
        </w:rPr>
        <w:t>8%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F25CB0">
        <w:rPr>
          <w:rFonts w:ascii="Times New Roman" w:hAnsi="Times New Roman" w:cs="Times New Roman"/>
          <w:sz w:val="24"/>
          <w:szCs w:val="24"/>
        </w:rPr>
        <w:t xml:space="preserve">  </w:t>
      </w:r>
      <w:r w:rsidR="00F25CB0" w:rsidRPr="00D549B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D549BA" w:rsidRDefault="00F32F4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F25CB0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D57EC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F25CB0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975CC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Sub2</w:t>
      </w:r>
      <w:r w:rsidR="00FE0A97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656161" w:rsidRPr="00BA70BF" w:rsidRDefault="00D57EC8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656161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46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F25CB0">
        <w:rPr>
          <w:rFonts w:ascii="Times New Roman" w:hAnsi="Times New Roman" w:cs="Times New Roman"/>
          <w:sz w:val="24"/>
          <w:szCs w:val="24"/>
        </w:rPr>
        <w:t xml:space="preserve">  average</w:t>
      </w:r>
    </w:p>
    <w:p w:rsidR="00656161" w:rsidRPr="00D549BA" w:rsidRDefault="00D57EC8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56161">
        <w:rPr>
          <w:rFonts w:ascii="Times New Roman" w:hAnsi="Times New Roman" w:cs="Times New Roman"/>
          <w:sz w:val="24"/>
          <w:szCs w:val="24"/>
        </w:rPr>
        <w:t xml:space="preserve">% </w:t>
      </w:r>
      <w:r w:rsidR="00656161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656161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F25CB0">
        <w:rPr>
          <w:rFonts w:ascii="Times New Roman" w:hAnsi="Times New Roman" w:cs="Times New Roman"/>
          <w:sz w:val="24"/>
          <w:szCs w:val="24"/>
        </w:rPr>
        <w:t xml:space="preserve">  </w:t>
      </w:r>
      <w:r w:rsidR="00F25CB0" w:rsidRPr="00D549BA">
        <w:rPr>
          <w:rFonts w:ascii="Times New Roman" w:hAnsi="Times New Roman" w:cs="Times New Roman"/>
          <w:sz w:val="24"/>
          <w:szCs w:val="24"/>
        </w:rPr>
        <w:t>good</w:t>
      </w:r>
    </w:p>
    <w:p w:rsidR="00656161" w:rsidRPr="00D549BA" w:rsidRDefault="00D57EC8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F25CB0">
        <w:rPr>
          <w:rFonts w:ascii="Times New Roman" w:hAnsi="Times New Roman" w:cs="Times New Roman"/>
          <w:sz w:val="24"/>
          <w:szCs w:val="24"/>
        </w:rPr>
        <w:t>excellent</w:t>
      </w:r>
    </w:p>
    <w:p w:rsidR="00656161" w:rsidRPr="00D549BA" w:rsidRDefault="00D57EC8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F25CB0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Sub3</w:t>
      </w:r>
      <w:r w:rsidR="00FE0A97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282929" w:rsidRPr="00D549BA" w:rsidRDefault="00B65F3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F25CB0">
        <w:rPr>
          <w:rFonts w:ascii="Times New Roman" w:hAnsi="Times New Roman" w:cs="Times New Roman"/>
          <w:sz w:val="24"/>
          <w:szCs w:val="24"/>
        </w:rPr>
        <w:t xml:space="preserve">  average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929" w:rsidRPr="00D549BA" w:rsidRDefault="00B65F3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</w:t>
      </w:r>
      <w:r w:rsidR="00656161" w:rsidRPr="00D549BA">
        <w:rPr>
          <w:rFonts w:ascii="Times New Roman" w:hAnsi="Times New Roman" w:cs="Times New Roman"/>
          <w:sz w:val="24"/>
          <w:szCs w:val="24"/>
        </w:rPr>
        <w:t>as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F25CB0">
        <w:rPr>
          <w:rFonts w:ascii="Times New Roman" w:hAnsi="Times New Roman" w:cs="Times New Roman"/>
          <w:sz w:val="24"/>
          <w:szCs w:val="24"/>
        </w:rPr>
        <w:t xml:space="preserve">  </w:t>
      </w:r>
      <w:r w:rsidR="00F25CB0" w:rsidRPr="00D549BA">
        <w:rPr>
          <w:rFonts w:ascii="Times New Roman" w:hAnsi="Times New Roman" w:cs="Times New Roman"/>
          <w:sz w:val="24"/>
          <w:szCs w:val="24"/>
        </w:rPr>
        <w:t>good</w:t>
      </w:r>
    </w:p>
    <w:p w:rsidR="00282929" w:rsidRPr="00D549BA" w:rsidRDefault="00B65F3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F25CB0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B65F3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F25CB0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Sub4</w:t>
      </w:r>
      <w:r w:rsidR="00FE0A97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B93EDD" w:rsidRPr="00D549BA" w:rsidRDefault="00743463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F25CB0">
        <w:rPr>
          <w:rFonts w:ascii="Times New Roman" w:hAnsi="Times New Roman" w:cs="Times New Roman"/>
          <w:sz w:val="24"/>
          <w:szCs w:val="24"/>
        </w:rPr>
        <w:t xml:space="preserve">  average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DD" w:rsidRPr="00D549BA" w:rsidRDefault="00743463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F25CB0">
        <w:rPr>
          <w:rFonts w:ascii="Times New Roman" w:hAnsi="Times New Roman" w:cs="Times New Roman"/>
          <w:sz w:val="24"/>
          <w:szCs w:val="24"/>
        </w:rPr>
        <w:t xml:space="preserve">  </w:t>
      </w:r>
      <w:r w:rsidR="00F25CB0" w:rsidRPr="00D549BA">
        <w:rPr>
          <w:rFonts w:ascii="Times New Roman" w:hAnsi="Times New Roman" w:cs="Times New Roman"/>
          <w:sz w:val="24"/>
          <w:szCs w:val="24"/>
        </w:rPr>
        <w:t>good</w:t>
      </w:r>
    </w:p>
    <w:p w:rsidR="00B93EDD" w:rsidRPr="00D549BA" w:rsidRDefault="00743463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F25CB0">
        <w:rPr>
          <w:rFonts w:ascii="Times New Roman" w:hAnsi="Times New Roman" w:cs="Times New Roman"/>
          <w:sz w:val="24"/>
          <w:szCs w:val="24"/>
        </w:rPr>
        <w:t>excellent</w:t>
      </w:r>
    </w:p>
    <w:p w:rsidR="00B93EDD" w:rsidRPr="00D549BA" w:rsidRDefault="00743463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F25CB0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  <w:r w:rsidR="00FE0A97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B93EDD" w:rsidRPr="00D549BA" w:rsidRDefault="00A97467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F25CB0">
        <w:rPr>
          <w:rFonts w:ascii="Times New Roman" w:hAnsi="Times New Roman" w:cs="Times New Roman"/>
          <w:sz w:val="24"/>
          <w:szCs w:val="24"/>
        </w:rPr>
        <w:t xml:space="preserve">  average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DD" w:rsidRPr="00D549BA" w:rsidRDefault="00A97467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F25CB0">
        <w:rPr>
          <w:rFonts w:ascii="Times New Roman" w:hAnsi="Times New Roman" w:cs="Times New Roman"/>
          <w:sz w:val="24"/>
          <w:szCs w:val="24"/>
        </w:rPr>
        <w:t xml:space="preserve">  </w:t>
      </w:r>
      <w:r w:rsidR="00F25CB0" w:rsidRPr="00D549BA">
        <w:rPr>
          <w:rFonts w:ascii="Times New Roman" w:hAnsi="Times New Roman" w:cs="Times New Roman"/>
          <w:sz w:val="24"/>
          <w:szCs w:val="24"/>
        </w:rPr>
        <w:t>good</w:t>
      </w:r>
    </w:p>
    <w:p w:rsidR="00B93EDD" w:rsidRPr="00D549BA" w:rsidRDefault="00A97467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F25CB0">
        <w:rPr>
          <w:rFonts w:ascii="Times New Roman" w:hAnsi="Times New Roman" w:cs="Times New Roman"/>
          <w:sz w:val="24"/>
          <w:szCs w:val="24"/>
        </w:rPr>
        <w:t>excellent</w:t>
      </w:r>
    </w:p>
    <w:p w:rsidR="00B93EDD" w:rsidRPr="00D549BA" w:rsidRDefault="00A97467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F25CB0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proofErr w:type="spellStart"/>
      <w:r w:rsidR="00E40FDB">
        <w:rPr>
          <w:rFonts w:ascii="Times New Roman" w:hAnsi="Times New Roman" w:cs="Times New Roman"/>
          <w:b/>
          <w:sz w:val="24"/>
          <w:szCs w:val="24"/>
        </w:rPr>
        <w:t>II</w:t>
      </w:r>
      <w:r w:rsidR="00E40FDB" w:rsidRPr="00E40FD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36C35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A2BC8" w:rsidRPr="004A2BC8" w:rsidTr="006469C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4A2BC8" w:rsidRPr="004A2BC8" w:rsidTr="004A2B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A2BC8" w:rsidRPr="004A2BC8" w:rsidTr="004A2B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4A2BC8" w:rsidRPr="004A2BC8" w:rsidTr="004A2B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A2BC8" w:rsidRPr="004A2BC8" w:rsidTr="004A2B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4A2BC8" w:rsidRPr="004A2BC8" w:rsidTr="004A2B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</w:tbl>
    <w:p w:rsidR="008B0A6A" w:rsidRDefault="008B0A6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A2BC8" w:rsidRPr="004A2BC8" w:rsidTr="006469C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4A2BC8" w:rsidRPr="004A2BC8" w:rsidTr="004A2B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A2BC8" w:rsidRPr="004A2BC8" w:rsidTr="004A2B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4A2BC8" w:rsidRPr="004A2BC8" w:rsidTr="004A2B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4A2BC8" w:rsidRPr="004A2BC8" w:rsidTr="004A2B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4A2BC8" w:rsidRPr="004A2BC8" w:rsidTr="004A2B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C8" w:rsidRPr="004A2BC8" w:rsidRDefault="004A2BC8" w:rsidP="004A2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BC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8B0A6A" w:rsidRDefault="00A636E7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73003" cy="2081284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0A6A" w:rsidRDefault="008B0A6A" w:rsidP="006D036E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7" w:rsidRDefault="00AB0B42" w:rsidP="00AC0447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AC044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33095A" w:rsidRPr="00236F1C" w:rsidRDefault="00A636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274DF">
        <w:rPr>
          <w:rFonts w:ascii="Times New Roman" w:hAnsi="Times New Roman" w:cs="Times New Roman"/>
          <w:sz w:val="24"/>
          <w:szCs w:val="24"/>
        </w:rPr>
        <w:t>Sub</w:t>
      </w:r>
      <w:r w:rsidR="006D036E"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0F3D">
        <w:rPr>
          <w:rFonts w:ascii="Times New Roman" w:hAnsi="Times New Roman" w:cs="Times New Roman"/>
          <w:sz w:val="24"/>
          <w:szCs w:val="24"/>
        </w:rPr>
        <w:t>average</w:t>
      </w:r>
      <w:r w:rsidR="000C0F3D"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5A" w:rsidRPr="00236F1C" w:rsidRDefault="00A636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0F3D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A636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0F3D" w:rsidRPr="00236F1C">
        <w:rPr>
          <w:rFonts w:ascii="Times New Roman" w:hAnsi="Times New Roman" w:cs="Times New Roman"/>
          <w:sz w:val="24"/>
          <w:szCs w:val="24"/>
        </w:rPr>
        <w:t>Excellent</w:t>
      </w:r>
      <w:r w:rsidR="000C0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5A" w:rsidRDefault="00A636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0F3D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1D2" w:rsidRPr="007F11D2" w:rsidRDefault="007F11D2" w:rsidP="007F11D2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7F11D2" w:rsidRPr="00236F1C" w:rsidRDefault="00A636E7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</w:t>
      </w:r>
      <w:r w:rsidR="00110CCE">
        <w:rPr>
          <w:rFonts w:ascii="Times New Roman" w:hAnsi="Times New Roman" w:cs="Times New Roman"/>
          <w:sz w:val="24"/>
          <w:szCs w:val="24"/>
        </w:rPr>
        <w:t>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0F3D">
        <w:rPr>
          <w:rFonts w:ascii="Times New Roman" w:hAnsi="Times New Roman" w:cs="Times New Roman"/>
          <w:sz w:val="24"/>
          <w:szCs w:val="24"/>
        </w:rPr>
        <w:t>average</w:t>
      </w:r>
      <w:r w:rsidR="000C0F3D"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1D2" w:rsidRPr="00236F1C" w:rsidRDefault="00A636E7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0F3D">
        <w:rPr>
          <w:rFonts w:ascii="Times New Roman" w:hAnsi="Times New Roman" w:cs="Times New Roman"/>
          <w:sz w:val="24"/>
          <w:szCs w:val="24"/>
        </w:rPr>
        <w:t>good</w:t>
      </w:r>
    </w:p>
    <w:p w:rsidR="007F11D2" w:rsidRPr="00236F1C" w:rsidRDefault="00A636E7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Project/seminar/assignments</w:t>
      </w:r>
      <w:r w:rsidR="006469C8">
        <w:rPr>
          <w:rFonts w:ascii="Times New Roman" w:hAnsi="Times New Roman" w:cs="Times New Roman"/>
          <w:sz w:val="24"/>
          <w:szCs w:val="24"/>
        </w:rPr>
        <w:t xml:space="preserve">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0F3D" w:rsidRPr="00236F1C">
        <w:rPr>
          <w:rFonts w:ascii="Times New Roman" w:hAnsi="Times New Roman" w:cs="Times New Roman"/>
          <w:sz w:val="24"/>
          <w:szCs w:val="24"/>
        </w:rPr>
        <w:t>Excellent</w:t>
      </w:r>
      <w:r w:rsidR="000C0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1D2" w:rsidRDefault="00A636E7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0F3D">
        <w:rPr>
          <w:rFonts w:ascii="Times New Roman" w:hAnsi="Times New Roman" w:cs="Times New Roman"/>
          <w:sz w:val="24"/>
          <w:szCs w:val="24"/>
        </w:rPr>
        <w:t>outstanding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4F02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12557" w:rsidRPr="00236F1C" w:rsidRDefault="00C04417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0F3D">
        <w:rPr>
          <w:rFonts w:ascii="Times New Roman" w:hAnsi="Times New Roman" w:cs="Times New Roman"/>
          <w:sz w:val="24"/>
          <w:szCs w:val="24"/>
        </w:rPr>
        <w:t>average</w:t>
      </w:r>
      <w:r w:rsidR="000C0F3D"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557" w:rsidRPr="00236F1C" w:rsidRDefault="00C04417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0F3D">
        <w:rPr>
          <w:rFonts w:ascii="Times New Roman" w:hAnsi="Times New Roman" w:cs="Times New Roman"/>
          <w:sz w:val="24"/>
          <w:szCs w:val="24"/>
        </w:rPr>
        <w:t>good</w:t>
      </w:r>
    </w:p>
    <w:p w:rsidR="00F12557" w:rsidRPr="00236F1C" w:rsidRDefault="00C04417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0F3D" w:rsidRPr="00236F1C">
        <w:rPr>
          <w:rFonts w:ascii="Times New Roman" w:hAnsi="Times New Roman" w:cs="Times New Roman"/>
          <w:sz w:val="24"/>
          <w:szCs w:val="24"/>
        </w:rPr>
        <w:t>Excellent</w:t>
      </w:r>
      <w:r w:rsidR="000C0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557" w:rsidRDefault="00C04417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0F3D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C354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9C3547" w:rsidRPr="00236F1C" w:rsidRDefault="003B5855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C3547">
        <w:rPr>
          <w:rFonts w:ascii="Times New Roman" w:hAnsi="Times New Roman" w:cs="Times New Roman"/>
          <w:sz w:val="24"/>
          <w:szCs w:val="24"/>
        </w:rPr>
        <w:t>Sub</w:t>
      </w:r>
      <w:r w:rsidR="006831EE">
        <w:rPr>
          <w:rFonts w:ascii="Times New Roman" w:hAnsi="Times New Roman" w:cs="Times New Roman"/>
          <w:sz w:val="24"/>
          <w:szCs w:val="24"/>
        </w:rPr>
        <w:t>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0F3D">
        <w:rPr>
          <w:rFonts w:ascii="Times New Roman" w:hAnsi="Times New Roman" w:cs="Times New Roman"/>
          <w:sz w:val="24"/>
          <w:szCs w:val="24"/>
        </w:rPr>
        <w:t>average</w:t>
      </w:r>
    </w:p>
    <w:p w:rsidR="000C0F3D" w:rsidRPr="000C0F3D" w:rsidRDefault="003B5855" w:rsidP="000C0F3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F3D">
        <w:rPr>
          <w:rFonts w:ascii="Times New Roman" w:hAnsi="Times New Roman" w:cs="Times New Roman"/>
          <w:sz w:val="24"/>
          <w:szCs w:val="24"/>
        </w:rPr>
        <w:t>25%</w:t>
      </w:r>
      <w:r w:rsidR="009C3547" w:rsidRPr="000C0F3D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6831EE" w:rsidRPr="000C0F3D">
        <w:rPr>
          <w:rFonts w:ascii="Times New Roman" w:hAnsi="Times New Roman" w:cs="Times New Roman"/>
          <w:sz w:val="24"/>
          <w:szCs w:val="24"/>
        </w:rPr>
        <w:t>Sub4</w:t>
      </w:r>
      <w:r w:rsidR="009C3547" w:rsidRPr="000C0F3D">
        <w:rPr>
          <w:rFonts w:ascii="Times New Roman" w:hAnsi="Times New Roman" w:cs="Times New Roman"/>
          <w:sz w:val="24"/>
          <w:szCs w:val="24"/>
        </w:rPr>
        <w:t xml:space="preserve"> as </w:t>
      </w:r>
      <w:r w:rsidR="000C0F3D" w:rsidRPr="000C0F3D">
        <w:rPr>
          <w:rFonts w:ascii="Times New Roman" w:hAnsi="Times New Roman" w:cs="Times New Roman"/>
          <w:sz w:val="24"/>
          <w:szCs w:val="24"/>
        </w:rPr>
        <w:t xml:space="preserve">good </w:t>
      </w:r>
    </w:p>
    <w:p w:rsidR="000C0F3D" w:rsidRPr="000C0F3D" w:rsidRDefault="003B5855" w:rsidP="000C0F3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F3D">
        <w:rPr>
          <w:rFonts w:ascii="Times New Roman" w:hAnsi="Times New Roman" w:cs="Times New Roman"/>
          <w:sz w:val="24"/>
          <w:szCs w:val="24"/>
        </w:rPr>
        <w:t>18%</w:t>
      </w:r>
      <w:r w:rsidR="006831EE" w:rsidRPr="000C0F3D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</w:t>
      </w:r>
      <w:r w:rsidR="000C0F3D" w:rsidRPr="000C0F3D">
        <w:rPr>
          <w:rFonts w:ascii="Times New Roman" w:hAnsi="Times New Roman" w:cs="Times New Roman"/>
          <w:sz w:val="24"/>
          <w:szCs w:val="24"/>
        </w:rPr>
        <w:t xml:space="preserve"> </w:t>
      </w:r>
      <w:r w:rsidR="009C3547" w:rsidRPr="000C0F3D">
        <w:rPr>
          <w:rFonts w:ascii="Times New Roman" w:hAnsi="Times New Roman" w:cs="Times New Roman"/>
          <w:sz w:val="24"/>
          <w:szCs w:val="24"/>
        </w:rPr>
        <w:t xml:space="preserve">of </w:t>
      </w:r>
      <w:r w:rsidR="006831EE" w:rsidRPr="000C0F3D">
        <w:rPr>
          <w:rFonts w:ascii="Times New Roman" w:hAnsi="Times New Roman" w:cs="Times New Roman"/>
          <w:sz w:val="24"/>
          <w:szCs w:val="24"/>
        </w:rPr>
        <w:t>Sub4</w:t>
      </w:r>
      <w:r w:rsidR="009C3547" w:rsidRPr="000C0F3D">
        <w:rPr>
          <w:rFonts w:ascii="Times New Roman" w:hAnsi="Times New Roman" w:cs="Times New Roman"/>
          <w:sz w:val="24"/>
          <w:szCs w:val="24"/>
        </w:rPr>
        <w:t xml:space="preserve"> as </w:t>
      </w:r>
      <w:r w:rsidR="000C0F3D" w:rsidRPr="000C0F3D">
        <w:rPr>
          <w:rFonts w:ascii="Times New Roman" w:hAnsi="Times New Roman" w:cs="Times New Roman"/>
          <w:sz w:val="24"/>
          <w:szCs w:val="24"/>
        </w:rPr>
        <w:t>Excellent</w:t>
      </w:r>
    </w:p>
    <w:p w:rsidR="000C0F3D" w:rsidRPr="00236F1C" w:rsidRDefault="003B5855" w:rsidP="000C0F3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F3D">
        <w:rPr>
          <w:rFonts w:ascii="Times New Roman" w:hAnsi="Times New Roman" w:cs="Times New Roman"/>
          <w:sz w:val="24"/>
          <w:szCs w:val="24"/>
        </w:rPr>
        <w:t>43</w:t>
      </w:r>
      <w:r w:rsidR="009C3547" w:rsidRPr="000C0F3D">
        <w:rPr>
          <w:rFonts w:ascii="Times New Roman" w:hAnsi="Times New Roman" w:cs="Times New Roman"/>
          <w:sz w:val="24"/>
          <w:szCs w:val="24"/>
        </w:rPr>
        <w:t xml:space="preserve">% of the students have rated Project/seminar/assignments of </w:t>
      </w:r>
      <w:r w:rsidR="006831EE" w:rsidRPr="000C0F3D">
        <w:rPr>
          <w:rFonts w:ascii="Times New Roman" w:hAnsi="Times New Roman" w:cs="Times New Roman"/>
          <w:sz w:val="24"/>
          <w:szCs w:val="24"/>
        </w:rPr>
        <w:t>Sub4</w:t>
      </w:r>
      <w:r w:rsidR="009C3547" w:rsidRPr="000C0F3D">
        <w:rPr>
          <w:rFonts w:ascii="Times New Roman" w:hAnsi="Times New Roman" w:cs="Times New Roman"/>
          <w:sz w:val="24"/>
          <w:szCs w:val="24"/>
        </w:rPr>
        <w:t xml:space="preserve"> as </w:t>
      </w:r>
      <w:r w:rsidR="000C0F3D" w:rsidRPr="000C0F3D">
        <w:rPr>
          <w:rFonts w:ascii="Times New Roman" w:hAnsi="Times New Roman" w:cs="Times New Roman"/>
          <w:sz w:val="24"/>
          <w:szCs w:val="24"/>
        </w:rPr>
        <w:t>outstandin</w:t>
      </w:r>
      <w:r w:rsidR="000C0F3D" w:rsidRPr="000C0F3D">
        <w:rPr>
          <w:rFonts w:ascii="Times New Roman" w:hAnsi="Times New Roman" w:cs="Times New Roman"/>
          <w:b/>
          <w:sz w:val="24"/>
          <w:szCs w:val="24"/>
        </w:rPr>
        <w:t>g</w:t>
      </w:r>
    </w:p>
    <w:p w:rsidR="009C3547" w:rsidRDefault="009C3547" w:rsidP="000C0F3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46AC" w:rsidRDefault="004146AC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2" w:rsidRPr="00B15C6F" w:rsidRDefault="004A0F12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A0F12" w:rsidRPr="00236F1C" w:rsidRDefault="00E67BDD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0C0F3D">
        <w:rPr>
          <w:rFonts w:ascii="Times New Roman" w:hAnsi="Times New Roman" w:cs="Times New Roman"/>
          <w:sz w:val="24"/>
          <w:szCs w:val="24"/>
        </w:rPr>
        <w:t xml:space="preserve"> average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F12" w:rsidRPr="00236F1C" w:rsidRDefault="00E67BDD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146AC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0F3D">
        <w:rPr>
          <w:rFonts w:ascii="Times New Roman" w:hAnsi="Times New Roman" w:cs="Times New Roman"/>
          <w:sz w:val="24"/>
          <w:szCs w:val="24"/>
        </w:rPr>
        <w:t>good</w:t>
      </w:r>
    </w:p>
    <w:p w:rsidR="004A0F12" w:rsidRPr="00236F1C" w:rsidRDefault="00E67BDD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0F3D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4A0F12" w:rsidRDefault="00E67BDD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46AC">
        <w:rPr>
          <w:rFonts w:ascii="Times New Roman" w:hAnsi="Times New Roman" w:cs="Times New Roman"/>
          <w:sz w:val="24"/>
          <w:szCs w:val="24"/>
        </w:rPr>
        <w:t>5</w:t>
      </w:r>
      <w:r w:rsidR="004A0F12">
        <w:rPr>
          <w:rFonts w:ascii="Times New Roman" w:hAnsi="Times New Roman" w:cs="Times New Roman"/>
          <w:sz w:val="24"/>
          <w:szCs w:val="24"/>
        </w:rPr>
        <w:t xml:space="preserve">% 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0F3D">
        <w:rPr>
          <w:rFonts w:ascii="Times New Roman" w:hAnsi="Times New Roman" w:cs="Times New Roman"/>
          <w:sz w:val="24"/>
          <w:szCs w:val="24"/>
        </w:rPr>
        <w:t>outstanding</w:t>
      </w: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662EB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1575BD">
        <w:rPr>
          <w:rFonts w:ascii="Times New Roman" w:hAnsi="Times New Roman" w:cs="Times New Roman"/>
          <w:sz w:val="24"/>
          <w:szCs w:val="24"/>
        </w:rPr>
        <w:t xml:space="preserve"> 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64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620"/>
        <w:gridCol w:w="960"/>
        <w:gridCol w:w="960"/>
        <w:gridCol w:w="960"/>
        <w:gridCol w:w="960"/>
      </w:tblGrid>
      <w:tr w:rsidR="00C04974" w:rsidRPr="00C04974" w:rsidTr="006469C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4974" w:rsidRPr="00C04974" w:rsidRDefault="00C04974" w:rsidP="00C04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04974" w:rsidRPr="00C04974" w:rsidRDefault="00C04974" w:rsidP="00C04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04974" w:rsidRPr="00C04974" w:rsidRDefault="00C04974" w:rsidP="00C04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04974" w:rsidRPr="00C04974" w:rsidRDefault="00C04974" w:rsidP="00C04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04974" w:rsidRPr="00C04974" w:rsidRDefault="00C04974" w:rsidP="00C04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04974" w:rsidRPr="00C04974" w:rsidRDefault="00C04974" w:rsidP="00C04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C04974" w:rsidRPr="00C04974" w:rsidTr="00C0497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04974" w:rsidRPr="00C04974" w:rsidTr="00C0497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04974" w:rsidRPr="00C04974" w:rsidTr="00C0497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C04974" w:rsidRPr="00C04974" w:rsidTr="00C0497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04974" w:rsidRPr="00C04974" w:rsidTr="00C0497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74" w:rsidRPr="00C04974" w:rsidRDefault="00C04974" w:rsidP="00C0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497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</w:tbl>
    <w:p w:rsidR="00662EB2" w:rsidRDefault="00662EB2" w:rsidP="0033095A">
      <w:pPr>
        <w:rPr>
          <w:rFonts w:ascii="Times New Roman" w:hAnsi="Times New Roman" w:cs="Times New Roman"/>
          <w:sz w:val="24"/>
          <w:szCs w:val="24"/>
        </w:rPr>
      </w:pP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64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620"/>
        <w:gridCol w:w="960"/>
        <w:gridCol w:w="960"/>
        <w:gridCol w:w="960"/>
        <w:gridCol w:w="960"/>
      </w:tblGrid>
      <w:tr w:rsidR="00B13025" w:rsidRPr="00B13025" w:rsidTr="006469C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13025" w:rsidRPr="00B13025" w:rsidRDefault="00B13025" w:rsidP="00B130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13025" w:rsidRPr="00B13025" w:rsidRDefault="00B13025" w:rsidP="00B130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13025" w:rsidRPr="00B13025" w:rsidRDefault="00B13025" w:rsidP="00B130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13025" w:rsidRPr="00B13025" w:rsidRDefault="00B13025" w:rsidP="00B130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13025" w:rsidRPr="00B13025" w:rsidRDefault="00B13025" w:rsidP="00B130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13025" w:rsidRPr="00B13025" w:rsidRDefault="00B13025" w:rsidP="00B130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B13025" w:rsidRPr="00B13025" w:rsidTr="00B130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13025" w:rsidRPr="00B13025" w:rsidTr="00B130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13025" w:rsidRPr="00B13025" w:rsidTr="00B130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B13025" w:rsidRPr="00B13025" w:rsidTr="00B130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13025" w:rsidRPr="00B13025" w:rsidTr="00B130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25" w:rsidRPr="00B13025" w:rsidRDefault="00B13025" w:rsidP="00B13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302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662EB2" w:rsidRDefault="00662EB2" w:rsidP="0033095A">
      <w:pPr>
        <w:rPr>
          <w:rFonts w:ascii="Times New Roman" w:hAnsi="Times New Roman" w:cs="Times New Roman"/>
          <w:sz w:val="24"/>
          <w:szCs w:val="24"/>
        </w:rPr>
      </w:pPr>
    </w:p>
    <w:p w:rsidR="00662EB2" w:rsidRDefault="00B13025" w:rsidP="0066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019868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28D2" w:rsidRDefault="004128D2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CD5DAE" w:rsidRDefault="00CD5DAE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28F0" w:rsidRPr="0068787E" w:rsidRDefault="0033095A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5: Infrastructure</w:t>
      </w:r>
    </w:p>
    <w:p w:rsidR="0033095A" w:rsidRDefault="0033095A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197A64" w:rsidRDefault="00197A64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FE6E16" w:rsidP="00197A64">
      <w:pPr>
        <w:spacing w:after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9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9D09B4">
        <w:rPr>
          <w:rFonts w:ascii="Times New Roman" w:hAnsi="Times New Roman" w:cs="Times New Roman"/>
          <w:sz w:val="24"/>
          <w:szCs w:val="24"/>
        </w:rPr>
        <w:t>Frequencies</w:t>
      </w:r>
      <w:r w:rsidR="009D09B4" w:rsidRPr="00C114ED">
        <w:rPr>
          <w:rFonts w:ascii="Times New Roman" w:hAnsi="Times New Roman" w:cs="Times New Roman"/>
          <w:sz w:val="24"/>
          <w:szCs w:val="24"/>
        </w:rPr>
        <w:t xml:space="preserve"> </w:t>
      </w:r>
      <w:r w:rsidR="006469C8">
        <w:rPr>
          <w:rFonts w:ascii="Times New Roman" w:hAnsi="Times New Roman" w:cs="Times New Roman"/>
          <w:sz w:val="24"/>
          <w:szCs w:val="24"/>
        </w:rPr>
        <w:t xml:space="preserve">and percentage </w:t>
      </w:r>
      <w:r w:rsidR="009D09B4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Infrastructure feedback summary</w:t>
      </w:r>
    </w:p>
    <w:tbl>
      <w:tblPr>
        <w:tblW w:w="35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375"/>
        <w:gridCol w:w="1205"/>
      </w:tblGrid>
      <w:tr w:rsidR="006469C8" w:rsidRPr="009361BD" w:rsidTr="006469C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69C8" w:rsidRPr="009361BD" w:rsidRDefault="006469C8" w:rsidP="0093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469C8" w:rsidRPr="009361BD" w:rsidRDefault="006469C8" w:rsidP="0093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Freq.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469C8" w:rsidRPr="009361BD" w:rsidRDefault="006469C8" w:rsidP="0093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469C8" w:rsidRPr="009361BD" w:rsidTr="006469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C8" w:rsidRPr="009361BD" w:rsidRDefault="006469C8" w:rsidP="0093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C8" w:rsidRPr="009361BD" w:rsidRDefault="006469C8" w:rsidP="0093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C8" w:rsidRPr="009361BD" w:rsidRDefault="006469C8" w:rsidP="00646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6469C8" w:rsidRPr="009361BD" w:rsidTr="006469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C8" w:rsidRPr="009361BD" w:rsidRDefault="006469C8" w:rsidP="0093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C8" w:rsidRPr="009361BD" w:rsidRDefault="006469C8" w:rsidP="0093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C8" w:rsidRPr="009361BD" w:rsidRDefault="006469C8" w:rsidP="00646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469C8" w:rsidRPr="009361BD" w:rsidTr="006469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C8" w:rsidRPr="009361BD" w:rsidRDefault="006469C8" w:rsidP="0093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C8" w:rsidRPr="009361BD" w:rsidRDefault="006469C8" w:rsidP="0093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C8" w:rsidRPr="009361BD" w:rsidRDefault="006469C8" w:rsidP="00646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6469C8" w:rsidRPr="009361BD" w:rsidTr="006469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C8" w:rsidRPr="009361BD" w:rsidRDefault="006469C8" w:rsidP="0093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C8" w:rsidRPr="009361BD" w:rsidRDefault="006469C8" w:rsidP="0093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C8" w:rsidRPr="009361BD" w:rsidRDefault="006469C8" w:rsidP="00646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6469C8" w:rsidRPr="009361BD" w:rsidTr="006469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C8" w:rsidRPr="009361BD" w:rsidRDefault="006469C8" w:rsidP="0093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C8" w:rsidRPr="009361BD" w:rsidRDefault="006469C8" w:rsidP="0093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C8" w:rsidRPr="009361BD" w:rsidRDefault="006469C8" w:rsidP="00646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A12BEA" w:rsidRDefault="00A12BEA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9D09B4" w:rsidRDefault="009D09B4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C92A9B" w:rsidRDefault="006469C8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6469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0651" cy="2299648"/>
            <wp:effectExtent l="19050" t="0" r="28149" b="5402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538A" w:rsidRDefault="003D538A" w:rsidP="003D538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CD133F" w:rsidRDefault="00CD133F" w:rsidP="00CD133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44E9">
        <w:rPr>
          <w:rFonts w:ascii="Times New Roman" w:hAnsi="Times New Roman" w:cs="Times New Roman"/>
          <w:sz w:val="24"/>
          <w:szCs w:val="24"/>
        </w:rPr>
        <w:t>Fig.5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251366" w:rsidRDefault="00251366" w:rsidP="00CD133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6BDD" w:rsidRPr="008A7D2B" w:rsidRDefault="009361BD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D2B">
        <w:rPr>
          <w:rFonts w:ascii="Times New Roman" w:hAnsi="Times New Roman" w:cs="Times New Roman"/>
          <w:sz w:val="24"/>
          <w:szCs w:val="24"/>
        </w:rPr>
        <w:t>29</w:t>
      </w:r>
      <w:r w:rsidR="002F6BDD" w:rsidRPr="008A7D2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8A7D2B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 w:rsidRPr="008A7D2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8A7D2B">
        <w:rPr>
          <w:rFonts w:ascii="Times New Roman" w:hAnsi="Times New Roman" w:cs="Times New Roman"/>
          <w:sz w:val="24"/>
          <w:szCs w:val="24"/>
        </w:rPr>
        <w:t xml:space="preserve"> as </w:t>
      </w:r>
      <w:r w:rsidR="008A7D2B" w:rsidRPr="008A7D2B">
        <w:rPr>
          <w:rFonts w:ascii="Times New Roman" w:hAnsi="Times New Roman" w:cs="Times New Roman"/>
          <w:sz w:val="24"/>
          <w:szCs w:val="24"/>
        </w:rPr>
        <w:t xml:space="preserve">average </w:t>
      </w:r>
    </w:p>
    <w:p w:rsidR="008A7D2B" w:rsidRPr="008A7D2B" w:rsidRDefault="009361BD" w:rsidP="008A7D2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D2B">
        <w:rPr>
          <w:rFonts w:ascii="Times New Roman" w:hAnsi="Times New Roman" w:cs="Times New Roman"/>
          <w:sz w:val="24"/>
          <w:szCs w:val="24"/>
        </w:rPr>
        <w:t>15</w:t>
      </w:r>
      <w:r w:rsidR="002F6BDD" w:rsidRPr="008A7D2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8A7D2B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 w:rsidRPr="008A7D2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8A7D2B">
        <w:rPr>
          <w:rFonts w:ascii="Times New Roman" w:hAnsi="Times New Roman" w:cs="Times New Roman"/>
          <w:sz w:val="24"/>
          <w:szCs w:val="24"/>
        </w:rPr>
        <w:t xml:space="preserve"> as </w:t>
      </w:r>
      <w:r w:rsidR="008A7D2B" w:rsidRPr="008A7D2B">
        <w:rPr>
          <w:rFonts w:ascii="Times New Roman" w:hAnsi="Times New Roman" w:cs="Times New Roman"/>
          <w:sz w:val="24"/>
          <w:szCs w:val="24"/>
        </w:rPr>
        <w:t>good</w:t>
      </w:r>
    </w:p>
    <w:p w:rsidR="002F6BDD" w:rsidRPr="008A7D2B" w:rsidRDefault="009361B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D2B">
        <w:rPr>
          <w:rFonts w:ascii="Times New Roman" w:hAnsi="Times New Roman" w:cs="Times New Roman"/>
          <w:sz w:val="24"/>
          <w:szCs w:val="24"/>
        </w:rPr>
        <w:t>38</w:t>
      </w:r>
      <w:r w:rsidR="009F10F5" w:rsidRPr="008A7D2B">
        <w:rPr>
          <w:rFonts w:ascii="Times New Roman" w:hAnsi="Times New Roman" w:cs="Times New Roman"/>
          <w:sz w:val="24"/>
          <w:szCs w:val="24"/>
        </w:rPr>
        <w:t>%</w:t>
      </w:r>
      <w:r w:rsidR="002F6BDD" w:rsidRPr="008A7D2B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 w:rsidRPr="008A7D2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8A7D2B">
        <w:rPr>
          <w:rFonts w:ascii="Times New Roman" w:hAnsi="Times New Roman" w:cs="Times New Roman"/>
          <w:sz w:val="24"/>
          <w:szCs w:val="24"/>
        </w:rPr>
        <w:t xml:space="preserve"> as </w:t>
      </w:r>
      <w:r w:rsidR="008A7D2B" w:rsidRPr="008A7D2B">
        <w:rPr>
          <w:rFonts w:ascii="Times New Roman" w:hAnsi="Times New Roman" w:cs="Times New Roman"/>
          <w:sz w:val="24"/>
          <w:szCs w:val="24"/>
        </w:rPr>
        <w:t>Excellent</w:t>
      </w:r>
    </w:p>
    <w:p w:rsidR="008A7D2B" w:rsidRPr="008A7D2B" w:rsidRDefault="009F10F5" w:rsidP="008A7D2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D2B">
        <w:rPr>
          <w:rFonts w:ascii="Times New Roman" w:hAnsi="Times New Roman" w:cs="Times New Roman"/>
          <w:sz w:val="24"/>
          <w:szCs w:val="24"/>
        </w:rPr>
        <w:t>18%</w:t>
      </w:r>
      <w:r w:rsidR="002F6BDD" w:rsidRPr="008A7D2B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Pr="008A7D2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8A7D2B">
        <w:rPr>
          <w:rFonts w:ascii="Times New Roman" w:hAnsi="Times New Roman" w:cs="Times New Roman"/>
          <w:sz w:val="24"/>
          <w:szCs w:val="24"/>
        </w:rPr>
        <w:t xml:space="preserve"> as</w:t>
      </w:r>
      <w:r w:rsidR="008A7D2B" w:rsidRPr="008A7D2B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9361BD" w:rsidRPr="008A7D2B" w:rsidRDefault="009361BD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8A7D2B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D2B">
        <w:rPr>
          <w:rFonts w:ascii="Times New Roman" w:hAnsi="Times New Roman" w:cs="Times New Roman"/>
          <w:b/>
          <w:sz w:val="24"/>
          <w:szCs w:val="24"/>
        </w:rPr>
        <w:t xml:space="preserve">Analysis of feedbacks of students </w:t>
      </w:r>
      <w:proofErr w:type="gramStart"/>
      <w:r w:rsidRPr="008A7D2B">
        <w:rPr>
          <w:rFonts w:ascii="Times New Roman" w:hAnsi="Times New Roman" w:cs="Times New Roman"/>
          <w:b/>
          <w:sz w:val="24"/>
          <w:szCs w:val="24"/>
        </w:rPr>
        <w:t>of  about</w:t>
      </w:r>
      <w:proofErr w:type="gramEnd"/>
      <w:r w:rsidRPr="008A7D2B">
        <w:rPr>
          <w:rFonts w:ascii="Times New Roman" w:hAnsi="Times New Roman" w:cs="Times New Roman"/>
          <w:b/>
          <w:sz w:val="24"/>
          <w:szCs w:val="24"/>
        </w:rPr>
        <w:t xml:space="preserve"> criterion VI, VII, VIII, IX and X</w:t>
      </w:r>
    </w:p>
    <w:p w:rsidR="0033095A" w:rsidRPr="008A7D2B" w:rsidRDefault="0033095A" w:rsidP="003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8A7D2B">
        <w:rPr>
          <w:rFonts w:ascii="Times New Roman" w:hAnsi="Times New Roman" w:cs="Times New Roman"/>
          <w:sz w:val="24"/>
          <w:szCs w:val="24"/>
        </w:rPr>
        <w:lastRenderedPageBreak/>
        <w:t xml:space="preserve">In part VI, VII, VIII, IX and X the students have to give feedback as yes or no of single question  </w:t>
      </w:r>
    </w:p>
    <w:p w:rsidR="0033095A" w:rsidRPr="008A7D2B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7D2B"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gramStart"/>
      <w:r w:rsidRPr="008A7D2B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8A7D2B"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page" w:tblpX="3729" w:tblpY="319"/>
        <w:tblW w:w="2976" w:type="dxa"/>
        <w:tblLook w:val="04A0" w:firstRow="1" w:lastRow="0" w:firstColumn="1" w:lastColumn="0" w:noHBand="0" w:noVBand="1"/>
      </w:tblPr>
      <w:tblGrid>
        <w:gridCol w:w="1136"/>
        <w:gridCol w:w="880"/>
        <w:gridCol w:w="960"/>
      </w:tblGrid>
      <w:tr w:rsidR="009F10F5" w:rsidRPr="009F10F5" w:rsidTr="009F10F5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0F5" w:rsidRPr="009F10F5" w:rsidRDefault="009F10F5" w:rsidP="009F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</w:tbl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9F10F5" w:rsidP="0033095A">
      <w:pPr>
        <w:rPr>
          <w:rFonts w:ascii="Times New Roman" w:hAnsi="Times New Roman" w:cs="Times New Roman"/>
          <w:sz w:val="24"/>
          <w:szCs w:val="24"/>
        </w:rPr>
      </w:pPr>
      <w:r w:rsidRPr="009F1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8072" cy="2142699"/>
            <wp:effectExtent l="19050" t="0" r="22178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</w:t>
      </w:r>
      <w:r w:rsidR="00B36263">
        <w:rPr>
          <w:rFonts w:ascii="Times New Roman" w:hAnsi="Times New Roman" w:cs="Times New Roman"/>
          <w:sz w:val="24"/>
          <w:szCs w:val="24"/>
        </w:rPr>
        <w:t xml:space="preserve"> </w:t>
      </w:r>
      <w:r w:rsidR="0033095A">
        <w:rPr>
          <w:rFonts w:ascii="Times New Roman" w:hAnsi="Times New Roman" w:cs="Times New Roman"/>
          <w:sz w:val="24"/>
          <w:szCs w:val="24"/>
        </w:rPr>
        <w:t>more industrial/ field visits.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 w:rsidR="0033095A">
        <w:rPr>
          <w:rFonts w:ascii="Times New Roman" w:hAnsi="Times New Roman" w:cs="Times New Roman"/>
          <w:sz w:val="24"/>
          <w:szCs w:val="24"/>
        </w:rPr>
        <w:t>finds</w:t>
      </w:r>
      <w:proofErr w:type="gramEnd"/>
      <w:r w:rsidR="0033095A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3095A" w:rsidRPr="000910DE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5202A"/>
    <w:rsid w:val="00056AC0"/>
    <w:rsid w:val="00066B0A"/>
    <w:rsid w:val="00076D43"/>
    <w:rsid w:val="000C0F3D"/>
    <w:rsid w:val="000C6516"/>
    <w:rsid w:val="000D2029"/>
    <w:rsid w:val="000E05D4"/>
    <w:rsid w:val="000E4B90"/>
    <w:rsid w:val="00110CCE"/>
    <w:rsid w:val="00121942"/>
    <w:rsid w:val="001319E4"/>
    <w:rsid w:val="001368E5"/>
    <w:rsid w:val="0014512C"/>
    <w:rsid w:val="001575BD"/>
    <w:rsid w:val="00176203"/>
    <w:rsid w:val="00197A64"/>
    <w:rsid w:val="001A2DA3"/>
    <w:rsid w:val="001C132E"/>
    <w:rsid w:val="001C2BFD"/>
    <w:rsid w:val="001D578C"/>
    <w:rsid w:val="00203AC7"/>
    <w:rsid w:val="00230BB0"/>
    <w:rsid w:val="00251366"/>
    <w:rsid w:val="00254934"/>
    <w:rsid w:val="00264F9D"/>
    <w:rsid w:val="00280AF1"/>
    <w:rsid w:val="00282929"/>
    <w:rsid w:val="00285D7A"/>
    <w:rsid w:val="00286B7C"/>
    <w:rsid w:val="002962BA"/>
    <w:rsid w:val="002A6386"/>
    <w:rsid w:val="002B4C4D"/>
    <w:rsid w:val="002C4B92"/>
    <w:rsid w:val="002F6BDD"/>
    <w:rsid w:val="00302742"/>
    <w:rsid w:val="003228F0"/>
    <w:rsid w:val="0033095A"/>
    <w:rsid w:val="00371C10"/>
    <w:rsid w:val="00380600"/>
    <w:rsid w:val="00395019"/>
    <w:rsid w:val="00396CF2"/>
    <w:rsid w:val="003B5855"/>
    <w:rsid w:val="003C34AC"/>
    <w:rsid w:val="003D538A"/>
    <w:rsid w:val="004128D2"/>
    <w:rsid w:val="004146AC"/>
    <w:rsid w:val="004219E2"/>
    <w:rsid w:val="00447BF3"/>
    <w:rsid w:val="004556AB"/>
    <w:rsid w:val="00495E01"/>
    <w:rsid w:val="00496D52"/>
    <w:rsid w:val="004A0F12"/>
    <w:rsid w:val="004A24AE"/>
    <w:rsid w:val="004A2BC8"/>
    <w:rsid w:val="004A306F"/>
    <w:rsid w:val="004F020B"/>
    <w:rsid w:val="00505DC8"/>
    <w:rsid w:val="005062A4"/>
    <w:rsid w:val="0052507C"/>
    <w:rsid w:val="00542312"/>
    <w:rsid w:val="00581B19"/>
    <w:rsid w:val="005A79B8"/>
    <w:rsid w:val="005B41B7"/>
    <w:rsid w:val="005C360D"/>
    <w:rsid w:val="005C538C"/>
    <w:rsid w:val="005D1DB4"/>
    <w:rsid w:val="005D4CC0"/>
    <w:rsid w:val="005F4E2D"/>
    <w:rsid w:val="00626B2E"/>
    <w:rsid w:val="006469C8"/>
    <w:rsid w:val="00656161"/>
    <w:rsid w:val="00657D79"/>
    <w:rsid w:val="00657FB8"/>
    <w:rsid w:val="00662EB2"/>
    <w:rsid w:val="00676762"/>
    <w:rsid w:val="006831EE"/>
    <w:rsid w:val="006869D5"/>
    <w:rsid w:val="0068787E"/>
    <w:rsid w:val="006B26DD"/>
    <w:rsid w:val="006D036E"/>
    <w:rsid w:val="0071566C"/>
    <w:rsid w:val="007274DF"/>
    <w:rsid w:val="00743463"/>
    <w:rsid w:val="0074456D"/>
    <w:rsid w:val="007879C1"/>
    <w:rsid w:val="007A2961"/>
    <w:rsid w:val="007B05EA"/>
    <w:rsid w:val="007B06BC"/>
    <w:rsid w:val="007C2B5B"/>
    <w:rsid w:val="007C608D"/>
    <w:rsid w:val="007F11D2"/>
    <w:rsid w:val="008141C0"/>
    <w:rsid w:val="00873F82"/>
    <w:rsid w:val="008A7D2B"/>
    <w:rsid w:val="008B0A6A"/>
    <w:rsid w:val="008B2FE5"/>
    <w:rsid w:val="008C2989"/>
    <w:rsid w:val="008E1DF4"/>
    <w:rsid w:val="008F193C"/>
    <w:rsid w:val="008F51BA"/>
    <w:rsid w:val="00913EDD"/>
    <w:rsid w:val="009361BD"/>
    <w:rsid w:val="00971EC2"/>
    <w:rsid w:val="00975CC1"/>
    <w:rsid w:val="009804CE"/>
    <w:rsid w:val="0099291A"/>
    <w:rsid w:val="009A3AAD"/>
    <w:rsid w:val="009C3547"/>
    <w:rsid w:val="009D09B4"/>
    <w:rsid w:val="009E1D6A"/>
    <w:rsid w:val="009F10F5"/>
    <w:rsid w:val="00A12BEA"/>
    <w:rsid w:val="00A446F5"/>
    <w:rsid w:val="00A636E7"/>
    <w:rsid w:val="00A82345"/>
    <w:rsid w:val="00A97467"/>
    <w:rsid w:val="00AA313A"/>
    <w:rsid w:val="00AA3250"/>
    <w:rsid w:val="00AA5B33"/>
    <w:rsid w:val="00AB0B42"/>
    <w:rsid w:val="00AB0E1A"/>
    <w:rsid w:val="00AC0447"/>
    <w:rsid w:val="00AD1094"/>
    <w:rsid w:val="00AE09EB"/>
    <w:rsid w:val="00AE539E"/>
    <w:rsid w:val="00B13025"/>
    <w:rsid w:val="00B36263"/>
    <w:rsid w:val="00B400B6"/>
    <w:rsid w:val="00B42408"/>
    <w:rsid w:val="00B43394"/>
    <w:rsid w:val="00B60306"/>
    <w:rsid w:val="00B62622"/>
    <w:rsid w:val="00B65F35"/>
    <w:rsid w:val="00B8628D"/>
    <w:rsid w:val="00B93EDD"/>
    <w:rsid w:val="00BA70BF"/>
    <w:rsid w:val="00BB2366"/>
    <w:rsid w:val="00BB3F3A"/>
    <w:rsid w:val="00C032A1"/>
    <w:rsid w:val="00C04417"/>
    <w:rsid w:val="00C04974"/>
    <w:rsid w:val="00C04FFC"/>
    <w:rsid w:val="00C12CBA"/>
    <w:rsid w:val="00C62D87"/>
    <w:rsid w:val="00C92A9B"/>
    <w:rsid w:val="00CA2440"/>
    <w:rsid w:val="00CD133F"/>
    <w:rsid w:val="00CD5DAE"/>
    <w:rsid w:val="00CE3D74"/>
    <w:rsid w:val="00CF2AA4"/>
    <w:rsid w:val="00CF4EA1"/>
    <w:rsid w:val="00D10101"/>
    <w:rsid w:val="00D15FA3"/>
    <w:rsid w:val="00D27E13"/>
    <w:rsid w:val="00D366AC"/>
    <w:rsid w:val="00D46887"/>
    <w:rsid w:val="00D57EC8"/>
    <w:rsid w:val="00D61FD2"/>
    <w:rsid w:val="00D702A7"/>
    <w:rsid w:val="00D72A3A"/>
    <w:rsid w:val="00D77300"/>
    <w:rsid w:val="00D82A74"/>
    <w:rsid w:val="00D944E9"/>
    <w:rsid w:val="00DB59FB"/>
    <w:rsid w:val="00DF6076"/>
    <w:rsid w:val="00E14F6E"/>
    <w:rsid w:val="00E34B79"/>
    <w:rsid w:val="00E40FDB"/>
    <w:rsid w:val="00E64D03"/>
    <w:rsid w:val="00E67BDD"/>
    <w:rsid w:val="00E70C58"/>
    <w:rsid w:val="00EA3330"/>
    <w:rsid w:val="00EF6553"/>
    <w:rsid w:val="00F0473F"/>
    <w:rsid w:val="00F06649"/>
    <w:rsid w:val="00F12557"/>
    <w:rsid w:val="00F25CB0"/>
    <w:rsid w:val="00F32F46"/>
    <w:rsid w:val="00F44D0A"/>
    <w:rsid w:val="00F50D6C"/>
    <w:rsid w:val="00F51018"/>
    <w:rsid w:val="00F52C7F"/>
    <w:rsid w:val="00F76D3F"/>
    <w:rsid w:val="00F80D61"/>
    <w:rsid w:val="00FB5D33"/>
    <w:rsid w:val="00FE0A97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With_Report\zoology_student_ff_06-04-2018_2nd_Re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ac_2018\With_Report\zoology_student_ff_06-04-2018_2nd_Re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With_Report\zoology_student_ff_06-04-2018_2nd_Repor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With_Report\zoology_student_ff_06-04-2018_2nd_Repor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NAAC%202018_15_May\calcul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SEMESTER_IIND_SEM!$H$772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SEMESTER_IIND_SEM!$I$771:$M$771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SEMESTER_IIND_SEM!$I$772:$M$772</c:f>
              <c:numCache>
                <c:formatCode>0</c:formatCode>
                <c:ptCount val="5"/>
                <c:pt idx="0">
                  <c:v>17.246175243393587</c:v>
                </c:pt>
                <c:pt idx="1">
                  <c:v>14.175654853620976</c:v>
                </c:pt>
                <c:pt idx="2">
                  <c:v>14.769230769230768</c:v>
                </c:pt>
                <c:pt idx="3">
                  <c:v>14.791987673343607</c:v>
                </c:pt>
                <c:pt idx="4">
                  <c:v>13.82488479262674</c:v>
                </c:pt>
              </c:numCache>
            </c:numRef>
          </c:val>
        </c:ser>
        <c:ser>
          <c:idx val="1"/>
          <c:order val="1"/>
          <c:tx>
            <c:strRef>
              <c:f>SEMESTER_IIND_SEM!$H$773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SEMESTER_IIND_SEM!$I$771:$M$771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SEMESTER_IIND_SEM!$I$773:$M$773</c:f>
              <c:numCache>
                <c:formatCode>0</c:formatCode>
                <c:ptCount val="5"/>
                <c:pt idx="0">
                  <c:v>17.802503477051459</c:v>
                </c:pt>
                <c:pt idx="1">
                  <c:v>22.18798151001544</c:v>
                </c:pt>
                <c:pt idx="2">
                  <c:v>20.153846153846175</c:v>
                </c:pt>
                <c:pt idx="3">
                  <c:v>19.260400616332799</c:v>
                </c:pt>
                <c:pt idx="4">
                  <c:v>15.821812596006152</c:v>
                </c:pt>
              </c:numCache>
            </c:numRef>
          </c:val>
        </c:ser>
        <c:ser>
          <c:idx val="2"/>
          <c:order val="2"/>
          <c:tx>
            <c:strRef>
              <c:f>SEMESTER_IIND_SEM!$H$774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SEMESTER_IIND_SEM!$I$771:$M$771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SEMESTER_IIND_SEM!$I$774:$M$774</c:f>
              <c:numCache>
                <c:formatCode>0</c:formatCode>
                <c:ptCount val="5"/>
                <c:pt idx="0">
                  <c:v>25.034770514603615</c:v>
                </c:pt>
                <c:pt idx="1">
                  <c:v>27.580893682588599</c:v>
                </c:pt>
                <c:pt idx="2">
                  <c:v>28.000000000000004</c:v>
                </c:pt>
                <c:pt idx="3">
                  <c:v>28.197226502311221</c:v>
                </c:pt>
                <c:pt idx="4">
                  <c:v>27.035330261136693</c:v>
                </c:pt>
              </c:numCache>
            </c:numRef>
          </c:val>
        </c:ser>
        <c:ser>
          <c:idx val="3"/>
          <c:order val="3"/>
          <c:tx>
            <c:strRef>
              <c:f>SEMESTER_IIND_SEM!$H$775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SEMESTER_IIND_SEM!$I$771:$M$771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SEMESTER_IIND_SEM!$I$775:$M$775</c:f>
              <c:numCache>
                <c:formatCode>0</c:formatCode>
                <c:ptCount val="5"/>
                <c:pt idx="0">
                  <c:v>39.916550764951317</c:v>
                </c:pt>
                <c:pt idx="1">
                  <c:v>36.055469953775024</c:v>
                </c:pt>
                <c:pt idx="2">
                  <c:v>37.07692307692308</c:v>
                </c:pt>
                <c:pt idx="3">
                  <c:v>37.750385208012325</c:v>
                </c:pt>
                <c:pt idx="4">
                  <c:v>43.317972350230363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1276544"/>
        <c:axId val="321290624"/>
        <c:axId val="0"/>
      </c:bar3DChart>
      <c:catAx>
        <c:axId val="321276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21290624"/>
        <c:crosses val="autoZero"/>
        <c:auto val="1"/>
        <c:lblAlgn val="ctr"/>
        <c:lblOffset val="100"/>
        <c:noMultiLvlLbl val="0"/>
      </c:catAx>
      <c:valAx>
        <c:axId val="32129062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212765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SEMESTER_IIND_SEM!$H$772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SEMESTER_IIND_SEM!$I$771:$M$771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SEMESTER_IIND_SEM!$I$772:$M$772</c:f>
              <c:numCache>
                <c:formatCode>0</c:formatCode>
                <c:ptCount val="5"/>
                <c:pt idx="0">
                  <c:v>17.246175243393587</c:v>
                </c:pt>
                <c:pt idx="1">
                  <c:v>14.175654853620976</c:v>
                </c:pt>
                <c:pt idx="2">
                  <c:v>14.769230769230768</c:v>
                </c:pt>
                <c:pt idx="3">
                  <c:v>14.791987673343607</c:v>
                </c:pt>
                <c:pt idx="4">
                  <c:v>13.82488479262674</c:v>
                </c:pt>
              </c:numCache>
            </c:numRef>
          </c:val>
        </c:ser>
        <c:ser>
          <c:idx val="1"/>
          <c:order val="1"/>
          <c:tx>
            <c:strRef>
              <c:f>SEMESTER_IIND_SEM!$H$773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SEMESTER_IIND_SEM!$I$771:$M$771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SEMESTER_IIND_SEM!$I$773:$M$773</c:f>
              <c:numCache>
                <c:formatCode>0</c:formatCode>
                <c:ptCount val="5"/>
                <c:pt idx="0">
                  <c:v>17.802503477051459</c:v>
                </c:pt>
                <c:pt idx="1">
                  <c:v>22.18798151001544</c:v>
                </c:pt>
                <c:pt idx="2">
                  <c:v>20.153846153846175</c:v>
                </c:pt>
                <c:pt idx="3">
                  <c:v>19.260400616332799</c:v>
                </c:pt>
                <c:pt idx="4">
                  <c:v>15.821812596006152</c:v>
                </c:pt>
              </c:numCache>
            </c:numRef>
          </c:val>
        </c:ser>
        <c:ser>
          <c:idx val="2"/>
          <c:order val="2"/>
          <c:tx>
            <c:strRef>
              <c:f>SEMESTER_IIND_SEM!$H$774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SEMESTER_IIND_SEM!$I$771:$M$771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SEMESTER_IIND_SEM!$I$774:$M$774</c:f>
              <c:numCache>
                <c:formatCode>0</c:formatCode>
                <c:ptCount val="5"/>
                <c:pt idx="0">
                  <c:v>25.034770514603615</c:v>
                </c:pt>
                <c:pt idx="1">
                  <c:v>27.580893682588599</c:v>
                </c:pt>
                <c:pt idx="2">
                  <c:v>28.000000000000004</c:v>
                </c:pt>
                <c:pt idx="3">
                  <c:v>28.197226502311221</c:v>
                </c:pt>
                <c:pt idx="4">
                  <c:v>27.035330261136693</c:v>
                </c:pt>
              </c:numCache>
            </c:numRef>
          </c:val>
        </c:ser>
        <c:ser>
          <c:idx val="3"/>
          <c:order val="3"/>
          <c:tx>
            <c:strRef>
              <c:f>SEMESTER_IIND_SEM!$H$775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SEMESTER_IIND_SEM!$I$771:$M$771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SEMESTER_IIND_SEM!$I$775:$M$775</c:f>
              <c:numCache>
                <c:formatCode>0</c:formatCode>
                <c:ptCount val="5"/>
                <c:pt idx="0">
                  <c:v>39.916550764951317</c:v>
                </c:pt>
                <c:pt idx="1">
                  <c:v>36.055469953775024</c:v>
                </c:pt>
                <c:pt idx="2">
                  <c:v>37.07692307692308</c:v>
                </c:pt>
                <c:pt idx="3">
                  <c:v>37.750385208012325</c:v>
                </c:pt>
                <c:pt idx="4">
                  <c:v>43.317972350230363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1319680"/>
        <c:axId val="321321216"/>
        <c:axId val="0"/>
      </c:bar3DChart>
      <c:catAx>
        <c:axId val="321319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21321216"/>
        <c:crosses val="autoZero"/>
        <c:auto val="1"/>
        <c:lblAlgn val="ctr"/>
        <c:lblOffset val="100"/>
        <c:noMultiLvlLbl val="0"/>
      </c:catAx>
      <c:valAx>
        <c:axId val="32132121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213196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SEMESTER_IIND_SEM!$O$293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SEMESTER_IIND_SEM!$P$292:$T$292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SEMESTER_IIND_SEM!$P$293:$T$293</c:f>
              <c:numCache>
                <c:formatCode>0</c:formatCode>
                <c:ptCount val="5"/>
                <c:pt idx="0">
                  <c:v>17.307692307692307</c:v>
                </c:pt>
                <c:pt idx="1">
                  <c:v>13.043478260869565</c:v>
                </c:pt>
                <c:pt idx="2">
                  <c:v>4.3478260869565215</c:v>
                </c:pt>
                <c:pt idx="3">
                  <c:v>13.043478260869565</c:v>
                </c:pt>
                <c:pt idx="4">
                  <c:v>7.608695652173914</c:v>
                </c:pt>
              </c:numCache>
            </c:numRef>
          </c:val>
        </c:ser>
        <c:ser>
          <c:idx val="1"/>
          <c:order val="1"/>
          <c:tx>
            <c:strRef>
              <c:f>SEMESTER_IIND_SEM!$O$294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SEMESTER_IIND_SEM!$P$292:$T$292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SEMESTER_IIND_SEM!$P$294:$T$294</c:f>
              <c:numCache>
                <c:formatCode>0</c:formatCode>
                <c:ptCount val="5"/>
                <c:pt idx="0">
                  <c:v>39.423076923076962</c:v>
                </c:pt>
                <c:pt idx="1">
                  <c:v>32.608695652173957</c:v>
                </c:pt>
                <c:pt idx="2">
                  <c:v>30.434782608695656</c:v>
                </c:pt>
                <c:pt idx="3">
                  <c:v>25</c:v>
                </c:pt>
                <c:pt idx="4">
                  <c:v>26.086956521739129</c:v>
                </c:pt>
              </c:numCache>
            </c:numRef>
          </c:val>
        </c:ser>
        <c:ser>
          <c:idx val="2"/>
          <c:order val="2"/>
          <c:tx>
            <c:strRef>
              <c:f>SEMESTER_IIND_SEM!$O$295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SEMESTER_IIND_SEM!$P$292:$T$292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SEMESTER_IIND_SEM!$P$295:$T$295</c:f>
              <c:numCache>
                <c:formatCode>0</c:formatCode>
                <c:ptCount val="5"/>
                <c:pt idx="0">
                  <c:v>19.230769230769184</c:v>
                </c:pt>
                <c:pt idx="1">
                  <c:v>22.82608695652171</c:v>
                </c:pt>
                <c:pt idx="2">
                  <c:v>33.695652173913061</c:v>
                </c:pt>
                <c:pt idx="3">
                  <c:v>18.47826086956518</c:v>
                </c:pt>
                <c:pt idx="4">
                  <c:v>21.739130434782609</c:v>
                </c:pt>
              </c:numCache>
            </c:numRef>
          </c:val>
        </c:ser>
        <c:ser>
          <c:idx val="3"/>
          <c:order val="3"/>
          <c:tx>
            <c:strRef>
              <c:f>SEMESTER_IIND_SEM!$O$296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SEMESTER_IIND_SEM!$P$292:$T$292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SEMESTER_IIND_SEM!$P$296:$T$296</c:f>
              <c:numCache>
                <c:formatCode>0</c:formatCode>
                <c:ptCount val="5"/>
                <c:pt idx="0">
                  <c:v>24.038461538461529</c:v>
                </c:pt>
                <c:pt idx="1">
                  <c:v>31.521739130434764</c:v>
                </c:pt>
                <c:pt idx="2">
                  <c:v>31.521739130434764</c:v>
                </c:pt>
                <c:pt idx="3">
                  <c:v>43.478260869565204</c:v>
                </c:pt>
                <c:pt idx="4">
                  <c:v>44.565217391304351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1505920"/>
        <c:axId val="321515904"/>
        <c:axId val="0"/>
      </c:bar3DChart>
      <c:catAx>
        <c:axId val="321505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21515904"/>
        <c:crosses val="autoZero"/>
        <c:auto val="1"/>
        <c:lblAlgn val="ctr"/>
        <c:lblOffset val="100"/>
        <c:noMultiLvlLbl val="0"/>
      </c:catAx>
      <c:valAx>
        <c:axId val="32151590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215059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SEMESTER_IIND_SEM!$AC$379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SEMESTER_IIND_SEM!$AD$378:$AH$378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SEMESTER_IIND_SEM!$AD$379:$AH$379</c:f>
              <c:numCache>
                <c:formatCode>0</c:formatCode>
                <c:ptCount val="5"/>
                <c:pt idx="0">
                  <c:v>28.971962616822431</c:v>
                </c:pt>
                <c:pt idx="1">
                  <c:v>6.0606060606060606</c:v>
                </c:pt>
                <c:pt idx="2">
                  <c:v>0</c:v>
                </c:pt>
                <c:pt idx="3">
                  <c:v>6.0606060606060606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SEMESTER_IIND_SEM!$AC$380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SEMESTER_IIND_SEM!$AD$378:$AH$378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SEMESTER_IIND_SEM!$AD$380:$AH$380</c:f>
              <c:numCache>
                <c:formatCode>0</c:formatCode>
                <c:ptCount val="5"/>
                <c:pt idx="0">
                  <c:v>14.953271028037381</c:v>
                </c:pt>
                <c:pt idx="1">
                  <c:v>27.272727272727202</c:v>
                </c:pt>
                <c:pt idx="2">
                  <c:v>15.151515151515149</c:v>
                </c:pt>
                <c:pt idx="3">
                  <c:v>18.181818181818208</c:v>
                </c:pt>
                <c:pt idx="4">
                  <c:v>9.0909090909091006</c:v>
                </c:pt>
              </c:numCache>
            </c:numRef>
          </c:val>
        </c:ser>
        <c:ser>
          <c:idx val="2"/>
          <c:order val="2"/>
          <c:tx>
            <c:strRef>
              <c:f>SEMESTER_IIND_SEM!$AC$381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SEMESTER_IIND_SEM!$AD$378:$AH$378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SEMESTER_IIND_SEM!$AD$381:$AH$381</c:f>
              <c:numCache>
                <c:formatCode>0</c:formatCode>
                <c:ptCount val="5"/>
                <c:pt idx="0">
                  <c:v>38.317757009345733</c:v>
                </c:pt>
                <c:pt idx="1">
                  <c:v>42.424242424242344</c:v>
                </c:pt>
                <c:pt idx="2">
                  <c:v>54.54545454545454</c:v>
                </c:pt>
                <c:pt idx="3">
                  <c:v>36.363636363636289</c:v>
                </c:pt>
                <c:pt idx="4">
                  <c:v>60.606060606060595</c:v>
                </c:pt>
              </c:numCache>
            </c:numRef>
          </c:val>
        </c:ser>
        <c:ser>
          <c:idx val="3"/>
          <c:order val="3"/>
          <c:tx>
            <c:strRef>
              <c:f>SEMESTER_IIND_SEM!$AC$382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SEMESTER_IIND_SEM!$AD$378:$AH$378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SEMESTER_IIND_SEM!$AD$382:$AH$382</c:f>
              <c:numCache>
                <c:formatCode>0</c:formatCode>
                <c:ptCount val="5"/>
                <c:pt idx="0">
                  <c:v>17.757009345794387</c:v>
                </c:pt>
                <c:pt idx="1">
                  <c:v>24.242424242424196</c:v>
                </c:pt>
                <c:pt idx="2">
                  <c:v>30.303030303030287</c:v>
                </c:pt>
                <c:pt idx="3">
                  <c:v>39.393939393939412</c:v>
                </c:pt>
                <c:pt idx="4">
                  <c:v>30.303030303030287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1679744"/>
        <c:axId val="321681280"/>
        <c:axId val="0"/>
      </c:bar3DChart>
      <c:catAx>
        <c:axId val="321679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21681280"/>
        <c:crosses val="autoZero"/>
        <c:auto val="1"/>
        <c:lblAlgn val="ctr"/>
        <c:lblOffset val="100"/>
        <c:noMultiLvlLbl val="0"/>
      </c:catAx>
      <c:valAx>
        <c:axId val="32168128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216797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Sheet1!$O$2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Sheet1!$N$3:$N$6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Sheet1!$O$3:$O$6</c:f>
              <c:numCache>
                <c:formatCode>General</c:formatCode>
                <c:ptCount val="4"/>
                <c:pt idx="0">
                  <c:v>29</c:v>
                </c:pt>
                <c:pt idx="1">
                  <c:v>15</c:v>
                </c:pt>
                <c:pt idx="2">
                  <c:v>38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1710720"/>
        <c:axId val="321716608"/>
        <c:axId val="0"/>
      </c:bar3DChart>
      <c:catAx>
        <c:axId val="321710720"/>
        <c:scaling>
          <c:orientation val="minMax"/>
        </c:scaling>
        <c:delete val="0"/>
        <c:axPos val="b"/>
        <c:majorTickMark val="out"/>
        <c:minorTickMark val="none"/>
        <c:tickLblPos val="nextTo"/>
        <c:crossAx val="321716608"/>
        <c:crosses val="autoZero"/>
        <c:auto val="1"/>
        <c:lblAlgn val="ctr"/>
        <c:lblOffset val="100"/>
        <c:noMultiLvlLbl val="0"/>
      </c:catAx>
      <c:valAx>
        <c:axId val="321716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21710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chemistry!$D$76:$D$77</c:f>
              <c:strCache>
                <c:ptCount val="1"/>
                <c:pt idx="0">
                  <c:v>Yes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chemistry!$C$78:$C$82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chemistry!$D$78:$D$82</c:f>
              <c:numCache>
                <c:formatCode>General</c:formatCode>
                <c:ptCount val="5"/>
                <c:pt idx="0">
                  <c:v>93</c:v>
                </c:pt>
                <c:pt idx="1">
                  <c:v>98</c:v>
                </c:pt>
                <c:pt idx="2">
                  <c:v>97</c:v>
                </c:pt>
                <c:pt idx="3">
                  <c:v>99</c:v>
                </c:pt>
                <c:pt idx="4">
                  <c:v>99</c:v>
                </c:pt>
              </c:numCache>
            </c:numRef>
          </c:val>
        </c:ser>
        <c:ser>
          <c:idx val="1"/>
          <c:order val="1"/>
          <c:tx>
            <c:strRef>
              <c:f>chemistry!$E$76:$E$77</c:f>
              <c:strCache>
                <c:ptCount val="1"/>
                <c:pt idx="0">
                  <c:v>No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chemistry!$C$78:$C$82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chemistry!$E$78:$E$82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725952"/>
        <c:axId val="321727488"/>
      </c:barChart>
      <c:catAx>
        <c:axId val="321725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21727488"/>
        <c:crosses val="autoZero"/>
        <c:auto val="1"/>
        <c:lblAlgn val="ctr"/>
        <c:lblOffset val="100"/>
        <c:noMultiLvlLbl val="0"/>
      </c:catAx>
      <c:valAx>
        <c:axId val="321727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217259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9EAD-7E10-4CCB-9EF7-10BA4C9C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5</cp:revision>
  <dcterms:created xsi:type="dcterms:W3CDTF">2018-06-05T17:25:00Z</dcterms:created>
  <dcterms:modified xsi:type="dcterms:W3CDTF">2018-10-16T13:13:00Z</dcterms:modified>
</cp:coreProperties>
</file>