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80677E" w:rsidRDefault="00E34B79" w:rsidP="00062130">
      <w:pPr>
        <w:tabs>
          <w:tab w:val="left" w:pos="686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Analysis of feedbacks of students of </w:t>
      </w:r>
      <w:r w:rsidR="003B216A"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.Phil</w:t>
      </w:r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35B7C"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Urdu</w:t>
      </w:r>
      <w:r w:rsidR="00062130"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2017-2018</w:t>
      </w:r>
      <w:r w:rsidR="00062130"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34B79" w:rsidRPr="0080677E" w:rsidRDefault="00E34B79" w:rsidP="00E34B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 of feedbacks of students about course curriculum</w:t>
      </w:r>
    </w:p>
    <w:p w:rsidR="0033095A" w:rsidRPr="0080677E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The course objectives and outcomes were clearly defined/identified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Length: Course material were of appropriate length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Relevance: Course material were relevant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Quality: Course material were of high quality and up to date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Organization: Material was well organized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The course provides useful inputs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The course provides focus on skill development/ employability/ entrepreneurship</w:t>
      </w:r>
    </w:p>
    <w:p w:rsidR="0033095A" w:rsidRPr="0080677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course updates understanding in this field as per their satisfaction in 4 levels: </w:t>
      </w:r>
    </w:p>
    <w:p w:rsidR="0033095A" w:rsidRPr="0080677E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Average</w:t>
      </w:r>
    </w:p>
    <w:p w:rsidR="0033095A" w:rsidRPr="0080677E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</w:p>
    <w:p w:rsidR="0033095A" w:rsidRPr="0080677E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33095A" w:rsidRPr="0080677E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</w:t>
      </w:r>
    </w:p>
    <w:p w:rsidR="0033095A" w:rsidRPr="0080677E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The students graded the about course curriculum as follows:</w:t>
      </w:r>
    </w:p>
    <w:p w:rsidR="0033095A" w:rsidRPr="0080677E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Table 1: Subject wise Percentage of grades given by students for course curriculum</w:t>
      </w:r>
    </w:p>
    <w:tbl>
      <w:tblPr>
        <w:tblW w:w="7561" w:type="dxa"/>
        <w:jc w:val="center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</w:tblGrid>
      <w:tr w:rsidR="0080677E" w:rsidRPr="0080677E" w:rsidTr="0010400E">
        <w:trPr>
          <w:trHeight w:val="32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Sub4</w:t>
            </w:r>
          </w:p>
        </w:tc>
      </w:tr>
      <w:tr w:rsidR="0080677E" w:rsidRPr="0080677E" w:rsidTr="0010400E">
        <w:trPr>
          <w:trHeight w:val="32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3B216A" w:rsidRPr="0080677E" w:rsidRDefault="003B216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</w:tr>
      <w:tr w:rsidR="0080677E" w:rsidRPr="0080677E" w:rsidTr="0010400E">
        <w:trPr>
          <w:trHeight w:val="23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6A" w:rsidRPr="0080677E" w:rsidRDefault="003B216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80677E" w:rsidRPr="0080677E" w:rsidTr="0010400E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6A" w:rsidRPr="0080677E" w:rsidRDefault="003B216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48</w:t>
            </w:r>
          </w:p>
        </w:tc>
      </w:tr>
      <w:tr w:rsidR="0080677E" w:rsidRPr="0080677E" w:rsidTr="0010400E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6A" w:rsidRPr="0080677E" w:rsidRDefault="003B216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30</w:t>
            </w:r>
          </w:p>
        </w:tc>
      </w:tr>
      <w:tr w:rsidR="0080677E" w:rsidRPr="0080677E" w:rsidTr="0010400E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6A" w:rsidRPr="0080677E" w:rsidRDefault="003B216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80677E" w:rsidRPr="0080677E" w:rsidTr="0010400E">
        <w:trPr>
          <w:trHeight w:val="476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6A" w:rsidRPr="0080677E" w:rsidRDefault="003B216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6A" w:rsidRPr="0080677E" w:rsidRDefault="003B216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</w:tr>
    </w:tbl>
    <w:p w:rsidR="001A2DA3" w:rsidRPr="0080677E" w:rsidRDefault="003B216A" w:rsidP="00686F90">
      <w:pPr>
        <w:tabs>
          <w:tab w:val="left" w:pos="94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AD2C4C3" wp14:editId="12D35298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479C" w:rsidRPr="0080677E" w:rsidRDefault="00EC479C" w:rsidP="00B02C56">
      <w:pPr>
        <w:autoSpaceDE w:val="0"/>
        <w:autoSpaceDN w:val="0"/>
        <w:adjustRightInd w:val="0"/>
        <w:spacing w:after="0" w:line="240" w:lineRule="auto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7E3D0D" w:rsidRPr="0080677E" w:rsidRDefault="00B02C56" w:rsidP="007E3D0D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Sub1</w:t>
      </w:r>
      <w:r w:rsidR="007E3D0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</w:t>
      </w:r>
      <w:r w:rsidR="009B64E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</w:t>
      </w:r>
    </w:p>
    <w:p w:rsidR="00B02C56" w:rsidRPr="0080677E" w:rsidRDefault="00B02C56" w:rsidP="00B02C5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2% of the students have rated course curriculum of Sub1 as outstanding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24%  of the students have rated course curriculum of Sub1 as Excellent 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48% of the students have rated course curriculum of Sub1as good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25% of the students have rated course curriculum of Sub1 as average</w:t>
      </w:r>
    </w:p>
    <w:p w:rsidR="00B02C56" w:rsidRPr="0080677E" w:rsidRDefault="00B02C56" w:rsidP="00B02C5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0D" w:rsidRPr="0080677E" w:rsidRDefault="00B02C56" w:rsidP="007E3D0D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Sub2</w:t>
      </w:r>
      <w:r w:rsidR="009B64E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</w:t>
      </w:r>
    </w:p>
    <w:p w:rsidR="00B02C56" w:rsidRPr="0080677E" w:rsidRDefault="00B02C56" w:rsidP="00B02C56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7% of the students have rated course curriculum of Sub2 as outstanding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course curriculum of Sub2 as Excellent 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course curriculum of Sub2  as good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18% of the students have rated course curriculum of Sub2 as average</w:t>
      </w:r>
    </w:p>
    <w:p w:rsidR="00B02C56" w:rsidRPr="0080677E" w:rsidRDefault="00B02C56" w:rsidP="00B02C56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D0D" w:rsidRPr="0080677E" w:rsidRDefault="00B02C56" w:rsidP="007E3D0D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Sub3</w:t>
      </w:r>
      <w:r w:rsidR="007E3D0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</w:t>
      </w:r>
      <w:r w:rsidR="009B64E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</w:t>
      </w:r>
    </w:p>
    <w:p w:rsidR="00B02C56" w:rsidRPr="0080677E" w:rsidRDefault="00B02C56" w:rsidP="00B02C56">
      <w:pPr>
        <w:autoSpaceDE w:val="0"/>
        <w:autoSpaceDN w:val="0"/>
        <w:adjustRightInd w:val="0"/>
        <w:spacing w:after="0" w:line="240" w:lineRule="auto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4%of the students have rated course curriculum of Sub3 as outstanding 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course curriculum of Sub3 as Excellent 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54 of the students have rated course curriculum of Sub3 as good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22% of the students have rated course curriculum of Sub3 as average</w:t>
      </w:r>
    </w:p>
    <w:p w:rsidR="00B02C56" w:rsidRPr="0080677E" w:rsidRDefault="00B02C56" w:rsidP="00B02C5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D0D" w:rsidRPr="0080677E" w:rsidRDefault="00B02C56" w:rsidP="007E3D0D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Sub4</w:t>
      </w:r>
      <w:r w:rsidR="007E3D0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</w:t>
      </w:r>
      <w:r w:rsidR="009B64E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</w:t>
      </w:r>
    </w:p>
    <w:p w:rsidR="00B02C56" w:rsidRPr="0080677E" w:rsidRDefault="00B02C56" w:rsidP="00B02C56">
      <w:pPr>
        <w:autoSpaceDE w:val="0"/>
        <w:autoSpaceDN w:val="0"/>
        <w:adjustRightInd w:val="0"/>
        <w:spacing w:after="0" w:line="240" w:lineRule="auto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7%of the students have rated course curriculum of Sub4 as outstanding 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course curriculum of Sub4 as Excellent 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48% of the students have rated course curriculum of Sub4 as good</w:t>
      </w:r>
    </w:p>
    <w:p w:rsidR="00B02C56" w:rsidRPr="0080677E" w:rsidRDefault="00B02C56" w:rsidP="00B02C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15% of the students have rated course curriculum of Sub4 as average</w:t>
      </w:r>
    </w:p>
    <w:p w:rsidR="0033095A" w:rsidRPr="0080677E" w:rsidRDefault="0033095A" w:rsidP="00330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95A" w:rsidRPr="0080677E" w:rsidRDefault="0033095A" w:rsidP="0033095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Analysis of </w:t>
      </w:r>
      <w:proofErr w:type="gramStart"/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students</w:t>
      </w:r>
      <w:proofErr w:type="gramEnd"/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feedback about teachers</w:t>
      </w:r>
    </w:p>
    <w:p w:rsidR="0033095A" w:rsidRPr="0080677E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In the second part the students have given their feedback about different characteristics of  teachers about preparedness for each class</w:t>
      </w:r>
      <w:r w:rsidR="000929B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ICT tools, fair evaluation, punctuality, overall effectiveness, communication clarity of concepts, listening skills and time management as per student satisfaction level students have rated in 4 levels: </w:t>
      </w:r>
    </w:p>
    <w:p w:rsidR="0033095A" w:rsidRPr="0080677E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A-Average</w:t>
      </w:r>
    </w:p>
    <w:p w:rsidR="0033095A" w:rsidRPr="0080677E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G-Good</w:t>
      </w:r>
    </w:p>
    <w:p w:rsidR="0033095A" w:rsidRPr="0080677E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E-Excellent</w:t>
      </w:r>
    </w:p>
    <w:p w:rsidR="00496D52" w:rsidRPr="0080677E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O-Outstanding </w:t>
      </w:r>
    </w:p>
    <w:p w:rsidR="00496D52" w:rsidRPr="0080677E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95A" w:rsidRPr="0080677E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able 2: Percentage of grades given by students for performance of teachers</w:t>
      </w:r>
    </w:p>
    <w:tbl>
      <w:tblPr>
        <w:tblW w:w="7583" w:type="dxa"/>
        <w:jc w:val="center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688"/>
      </w:tblGrid>
      <w:tr w:rsidR="0080677E" w:rsidRPr="0080677E" w:rsidTr="00686F90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86C1D" w:rsidRPr="0080677E" w:rsidRDefault="00686C1D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86C1D" w:rsidRPr="0080677E" w:rsidRDefault="00686C1D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86C1D" w:rsidRPr="0080677E" w:rsidRDefault="00686C1D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86C1D" w:rsidRPr="0080677E" w:rsidRDefault="00686C1D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86C1D" w:rsidRPr="0080677E" w:rsidRDefault="00686C1D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Sub4</w:t>
            </w:r>
          </w:p>
        </w:tc>
      </w:tr>
      <w:tr w:rsidR="0080677E" w:rsidRPr="0080677E" w:rsidTr="00686F90">
        <w:trPr>
          <w:trHeight w:val="3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86C1D" w:rsidRPr="0080677E" w:rsidRDefault="00686C1D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86C1D" w:rsidRPr="0080677E" w:rsidRDefault="00686C1D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</w:tr>
      <w:tr w:rsidR="0080677E" w:rsidRPr="0080677E" w:rsidTr="00686F90">
        <w:trPr>
          <w:trHeight w:val="23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1D" w:rsidRPr="0080677E" w:rsidRDefault="00686C1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80677E" w:rsidRPr="0080677E" w:rsidTr="00686F90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1D" w:rsidRPr="0080677E" w:rsidRDefault="00686C1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29</w:t>
            </w:r>
          </w:p>
        </w:tc>
      </w:tr>
      <w:tr w:rsidR="0080677E" w:rsidRPr="0080677E" w:rsidTr="00686F90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1D" w:rsidRPr="0080677E" w:rsidRDefault="00686C1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53</w:t>
            </w:r>
          </w:p>
        </w:tc>
      </w:tr>
      <w:tr w:rsidR="0080677E" w:rsidRPr="0080677E" w:rsidTr="00686F90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1D" w:rsidRPr="0080677E" w:rsidRDefault="00686C1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80677E" w:rsidRPr="0080677E" w:rsidTr="00686F90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1D" w:rsidRPr="0080677E" w:rsidRDefault="00686C1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1D" w:rsidRPr="0080677E" w:rsidRDefault="00686C1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</w:tr>
    </w:tbl>
    <w:p w:rsidR="00BA70BF" w:rsidRPr="0080677E" w:rsidRDefault="00686F90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145E52" wp14:editId="3873461B">
            <wp:simplePos x="0" y="0"/>
            <wp:positionH relativeFrom="column">
              <wp:posOffset>752475</wp:posOffset>
            </wp:positionH>
            <wp:positionV relativeFrom="paragraph">
              <wp:posOffset>276860</wp:posOffset>
            </wp:positionV>
            <wp:extent cx="4581525" cy="2934335"/>
            <wp:effectExtent l="19050" t="0" r="9525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32BCB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B62622" w:rsidRPr="0080677E" w:rsidRDefault="00B62622" w:rsidP="00D309B4">
      <w:pPr>
        <w:spacing w:after="0"/>
        <w:jc w:val="center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B62622" w:rsidRPr="0080677E" w:rsidRDefault="00B62622" w:rsidP="0033095A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33095A" w:rsidRPr="0080677E" w:rsidRDefault="0033095A" w:rsidP="0033095A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0929BF" w:rsidRPr="0080677E" w:rsidRDefault="000929BF" w:rsidP="0033095A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686F90" w:rsidRPr="0080677E" w:rsidRDefault="00686F90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686F90" w:rsidRPr="0080677E" w:rsidRDefault="00686F90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686F90" w:rsidRPr="0080677E" w:rsidRDefault="00686F90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686F90" w:rsidRPr="0080677E" w:rsidRDefault="00686F90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686F90" w:rsidRPr="0080677E" w:rsidRDefault="00686F90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686F90" w:rsidRPr="0080677E" w:rsidRDefault="00686F90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33095A" w:rsidRPr="0080677E" w:rsidRDefault="0080677E" w:rsidP="00502DE2">
      <w:pPr>
        <w:autoSpaceDE w:val="0"/>
        <w:autoSpaceDN w:val="0"/>
        <w:adjustRightInd w:val="0"/>
        <w:spacing w:after="0" w:line="240" w:lineRule="auto"/>
        <w:ind w:firstLine="284"/>
        <w:rPr>
          <w:b/>
          <w:bCs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lastRenderedPageBreak/>
        <w:t xml:space="preserve">        </w:t>
      </w:r>
      <w:proofErr w:type="gramStart"/>
      <w:r w:rsidR="007E3D0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sub  </w:t>
      </w:r>
      <w:r w:rsidR="00D41AF1" w:rsidRPr="0080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1</w:t>
      </w:r>
      <w:proofErr w:type="gramEnd"/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</w:t>
      </w:r>
      <w:r w:rsidR="00BA70B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rated performance of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outstanding</w:t>
      </w:r>
    </w:p>
    <w:p w:rsidR="00BA70BF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E704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4% </w:t>
      </w:r>
      <w:r w:rsidR="00BA70B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performance of </w:t>
      </w:r>
      <w:r w:rsidR="00BA70B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BA70B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Excellent</w:t>
      </w:r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3E704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good</w:t>
      </w:r>
      <w:bookmarkStart w:id="0" w:name="_GoBack"/>
      <w:bookmarkEnd w:id="0"/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95A" w:rsidRPr="0080677E" w:rsidRDefault="0080677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    </w:t>
      </w:r>
      <w:proofErr w:type="gramStart"/>
      <w:r w:rsidR="007E3D0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sub  </w:t>
      </w:r>
      <w:r w:rsidR="00D41AF1" w:rsidRPr="0080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2</w:t>
      </w:r>
      <w:proofErr w:type="gramEnd"/>
    </w:p>
    <w:p w:rsidR="008E5B55" w:rsidRPr="0080677E" w:rsidRDefault="008E5B55" w:rsidP="008E5B5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095A" w:rsidRPr="0080677E" w:rsidRDefault="008E5B55" w:rsidP="008E5B5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</w:t>
      </w:r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95A" w:rsidRPr="0080677E" w:rsidRDefault="0080677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    </w:t>
      </w:r>
      <w:proofErr w:type="gramStart"/>
      <w:r w:rsidR="007E3D0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sub  </w:t>
      </w:r>
      <w:r w:rsidR="00D41AF1" w:rsidRPr="0080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3</w:t>
      </w:r>
      <w:proofErr w:type="gramEnd"/>
    </w:p>
    <w:p w:rsidR="00282929" w:rsidRPr="0080677E" w:rsidRDefault="003E704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E5B55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2929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282929" w:rsidRPr="0080677E" w:rsidRDefault="008E5B5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282929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282929" w:rsidRPr="0080677E" w:rsidRDefault="008E5B5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3E704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282929" w:rsidRPr="0080677E" w:rsidRDefault="008E5B5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E704F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3338A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282929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95A" w:rsidRPr="0080677E" w:rsidRDefault="0080677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       </w:t>
      </w:r>
      <w:proofErr w:type="gramStart"/>
      <w:r w:rsidR="007E3D0D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sub  </w:t>
      </w:r>
      <w:r w:rsidR="003338AE" w:rsidRPr="0080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4</w:t>
      </w:r>
      <w:proofErr w:type="gramEnd"/>
    </w:p>
    <w:p w:rsidR="0033095A" w:rsidRPr="0080677E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E5B55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3338A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3338A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D41AF1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</w:t>
      </w:r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CD2415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3338A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80677E" w:rsidRDefault="008E5B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2415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performance of 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of sub </w:t>
      </w:r>
      <w:r w:rsidR="003338A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203AC7" w:rsidRPr="0080677E" w:rsidRDefault="00203AC7" w:rsidP="0033095A">
      <w:pPr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8E5B55" w:rsidRPr="0080677E" w:rsidRDefault="008E5B55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AC7" w:rsidRPr="0080677E" w:rsidRDefault="00203AC7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F84" w:rsidRPr="0080677E" w:rsidRDefault="00585F84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F84" w:rsidRPr="0080677E" w:rsidRDefault="00585F84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9B4" w:rsidRPr="0080677E" w:rsidRDefault="00D309B4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9B4" w:rsidRPr="0080677E" w:rsidRDefault="00D309B4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9B4" w:rsidRPr="0080677E" w:rsidRDefault="00D309B4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2DE2" w:rsidRPr="0080677E" w:rsidRDefault="00502DE2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9B4" w:rsidRPr="0080677E" w:rsidRDefault="00D309B4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95A" w:rsidRPr="0080677E" w:rsidRDefault="0033095A" w:rsidP="00330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Analysis of feedbacks of students of Semester- </w:t>
      </w:r>
      <w:r w:rsidR="00AE09EB"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about Projects/Seminars/ Home assignments/ Tutorials:</w:t>
      </w:r>
    </w:p>
    <w:p w:rsidR="0033095A" w:rsidRPr="0080677E" w:rsidRDefault="0033095A" w:rsidP="0033095A">
      <w:pPr>
        <w:tabs>
          <w:tab w:val="left" w:pos="9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In part III students have given the feedback about Projects/Seminars/ Home assignments/ Tutorials as:</w:t>
      </w:r>
    </w:p>
    <w:p w:rsidR="0033095A" w:rsidRPr="0080677E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Project / Seminar topics are new and interesting</w:t>
      </w:r>
    </w:p>
    <w:p w:rsidR="0033095A" w:rsidRPr="0080677E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Learnt a lot from doing the project / Seminar? Home Assignment</w:t>
      </w:r>
    </w:p>
    <w:p w:rsidR="0033095A" w:rsidRPr="0080677E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The assignment was regularly given and checked</w:t>
      </w:r>
    </w:p>
    <w:p w:rsidR="0033095A" w:rsidRPr="0080677E" w:rsidRDefault="00502DE2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Sufficient number of </w:t>
      </w:r>
      <w:proofErr w:type="spellStart"/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racticals</w:t>
      </w:r>
      <w:proofErr w:type="spellEnd"/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conducted</w:t>
      </w:r>
    </w:p>
    <w:p w:rsidR="0033095A" w:rsidRPr="0080677E" w:rsidRDefault="0033095A" w:rsidP="0033095A">
      <w:pPr>
        <w:tabs>
          <w:tab w:val="left" w:pos="9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student satisfaction level students have rated in 4 levels: 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A-Average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G-Good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E-Excellent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O-Outstanding </w:t>
      </w:r>
    </w:p>
    <w:p w:rsidR="0033095A" w:rsidRPr="0080677E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Table 3: Subject wise Percentage of grades given by students for project/seminar/assignments</w:t>
      </w:r>
    </w:p>
    <w:tbl>
      <w:tblPr>
        <w:tblW w:w="7583" w:type="dxa"/>
        <w:jc w:val="center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688"/>
      </w:tblGrid>
      <w:tr w:rsidR="0080677E" w:rsidRPr="0080677E" w:rsidTr="0053555F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3555F" w:rsidRPr="0080677E" w:rsidRDefault="0053555F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3555F" w:rsidRPr="0080677E" w:rsidRDefault="0053555F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3555F" w:rsidRPr="0080677E" w:rsidRDefault="0053555F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3555F" w:rsidRPr="0080677E" w:rsidRDefault="0053555F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3555F" w:rsidRPr="0080677E" w:rsidRDefault="0053555F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Sub4</w:t>
            </w:r>
          </w:p>
        </w:tc>
      </w:tr>
      <w:tr w:rsidR="0080677E" w:rsidRPr="0080677E" w:rsidTr="0053555F">
        <w:trPr>
          <w:trHeight w:val="4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555F" w:rsidRPr="0080677E" w:rsidRDefault="0053555F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3555F" w:rsidRPr="0080677E" w:rsidRDefault="0053555F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</w:tr>
      <w:tr w:rsidR="0080677E" w:rsidRPr="0080677E" w:rsidTr="0053555F">
        <w:trPr>
          <w:trHeight w:val="23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5F" w:rsidRPr="0080677E" w:rsidRDefault="0053555F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80677E" w:rsidRPr="0080677E" w:rsidTr="0053555F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5F" w:rsidRPr="0080677E" w:rsidRDefault="0053555F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29</w:t>
            </w:r>
          </w:p>
        </w:tc>
      </w:tr>
      <w:tr w:rsidR="0080677E" w:rsidRPr="0080677E" w:rsidTr="0053555F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5F" w:rsidRPr="0080677E" w:rsidRDefault="0053555F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51</w:t>
            </w:r>
          </w:p>
        </w:tc>
      </w:tr>
      <w:tr w:rsidR="0080677E" w:rsidRPr="0080677E" w:rsidTr="0053555F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5F" w:rsidRPr="0080677E" w:rsidRDefault="0053555F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14</w:t>
            </w:r>
          </w:p>
        </w:tc>
      </w:tr>
      <w:tr w:rsidR="0080677E" w:rsidRPr="0080677E" w:rsidTr="0053555F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5F" w:rsidRPr="0080677E" w:rsidRDefault="0053555F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5F" w:rsidRPr="0080677E" w:rsidRDefault="0053555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</w:tr>
    </w:tbl>
    <w:p w:rsidR="00585F84" w:rsidRPr="0080677E" w:rsidRDefault="00585F84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95A" w:rsidRPr="0080677E" w:rsidRDefault="0033095A" w:rsidP="007B6CBD">
      <w:pPr>
        <w:spacing w:after="0"/>
        <w:jc w:val="center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1C2BFD" w:rsidRPr="0080677E" w:rsidRDefault="0053555F" w:rsidP="00856A5C">
      <w:pPr>
        <w:spacing w:after="0"/>
        <w:jc w:val="center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9555D3D" wp14:editId="1AE6C86D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Pr="0080677E" w:rsidRDefault="0033095A" w:rsidP="0033095A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33095A" w:rsidRPr="0080677E" w:rsidRDefault="0033095A" w:rsidP="0033095A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33095A" w:rsidRPr="0080677E" w:rsidRDefault="0033095A" w:rsidP="0033095A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33095A" w:rsidRPr="0080677E" w:rsidRDefault="000155FE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Sub1</w:t>
      </w:r>
    </w:p>
    <w:p w:rsidR="0033095A" w:rsidRPr="0080677E" w:rsidRDefault="000155FE" w:rsidP="001F019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A5C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A21A05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ub1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33095A" w:rsidRPr="0080677E" w:rsidRDefault="00856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Sub1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33095A" w:rsidRPr="0080677E" w:rsidRDefault="00856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155F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Project/seminar/assignments of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Sub1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80677E" w:rsidRDefault="00856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8%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Project/seminar/assignments of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Sub1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average</w:t>
      </w:r>
    </w:p>
    <w:p w:rsidR="001F0194" w:rsidRPr="0080677E" w:rsidRDefault="001F0194" w:rsidP="00256F3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3095A" w:rsidRPr="0080677E" w:rsidRDefault="000155FE" w:rsidP="000155FE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Sub2</w:t>
      </w:r>
    </w:p>
    <w:p w:rsidR="001F0194" w:rsidRPr="0080677E" w:rsidRDefault="00856A5C" w:rsidP="001F019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33095A" w:rsidRPr="0080677E" w:rsidRDefault="00856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33095A" w:rsidRPr="0080677E" w:rsidRDefault="00856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0155F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80677E" w:rsidRDefault="00856A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95A" w:rsidRPr="0080677E" w:rsidRDefault="000155F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Sub3</w:t>
      </w:r>
    </w:p>
    <w:p w:rsidR="0033095A" w:rsidRPr="0080677E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161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33095A" w:rsidRPr="0080677E" w:rsidRDefault="00F216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33095A" w:rsidRPr="0080677E" w:rsidRDefault="00F216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0155F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80677E" w:rsidRDefault="00F216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33095A" w:rsidRPr="0080677E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95A" w:rsidRPr="0080677E" w:rsidRDefault="000155F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Sub4</w:t>
      </w:r>
      <w:r w:rsidR="0033095A"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 </w:t>
      </w:r>
    </w:p>
    <w:p w:rsidR="0033095A" w:rsidRPr="0080677E" w:rsidRDefault="00F216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3095A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33095A" w:rsidRPr="0080677E" w:rsidRDefault="00F216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B433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1F019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33095A" w:rsidRPr="0080677E" w:rsidRDefault="00F216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155FE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1769D" w:rsidRPr="0080677E" w:rsidRDefault="00F2161A" w:rsidP="002916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6%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Project/seminar/assignments of </w:t>
      </w:r>
      <w:r w:rsidR="00D72A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33095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31769D" w:rsidRPr="0080677E" w:rsidRDefault="0031769D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291682" w:rsidRPr="0080677E" w:rsidRDefault="00291682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Criterion 4: Overall</w:t>
      </w:r>
    </w:p>
    <w:p w:rsidR="00291682" w:rsidRPr="0080677E" w:rsidRDefault="00291682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9075C4" w:rsidRPr="0080677E" w:rsidRDefault="00291682" w:rsidP="002916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feedback of students about Overall is presented in tabular and graphical form as follows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45FA" w:rsidRPr="0080677E" w:rsidRDefault="000C45FA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tbl>
      <w:tblPr>
        <w:tblW w:w="7583" w:type="dxa"/>
        <w:jc w:val="center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688"/>
      </w:tblGrid>
      <w:tr w:rsidR="0080677E" w:rsidRPr="0080677E" w:rsidTr="002C6435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0F50" w:rsidRPr="0080677E" w:rsidRDefault="00E20F50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0F50" w:rsidRPr="0080677E" w:rsidRDefault="00E20F50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0F50" w:rsidRPr="0080677E" w:rsidRDefault="00E20F50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0F50" w:rsidRPr="0080677E" w:rsidRDefault="00E20F50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0F50" w:rsidRPr="0080677E" w:rsidRDefault="00E20F50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Sub4</w:t>
            </w:r>
          </w:p>
        </w:tc>
      </w:tr>
      <w:tr w:rsidR="0080677E" w:rsidRPr="0080677E" w:rsidTr="002C6435">
        <w:trPr>
          <w:trHeight w:val="4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20F50" w:rsidRPr="0080677E" w:rsidRDefault="00E20F50" w:rsidP="002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%</w:t>
            </w:r>
          </w:p>
        </w:tc>
      </w:tr>
      <w:tr w:rsidR="0080677E" w:rsidRPr="0080677E" w:rsidTr="002C6435">
        <w:trPr>
          <w:trHeight w:val="23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F50" w:rsidRPr="0080677E" w:rsidRDefault="00E20F50" w:rsidP="00256F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80677E" w:rsidRPr="0080677E" w:rsidTr="002C643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F50" w:rsidRPr="0080677E" w:rsidRDefault="00E20F50" w:rsidP="00256F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42</w:t>
            </w:r>
          </w:p>
        </w:tc>
      </w:tr>
      <w:tr w:rsidR="0080677E" w:rsidRPr="0080677E" w:rsidTr="002C643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F50" w:rsidRPr="0080677E" w:rsidRDefault="00E20F50" w:rsidP="00256F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42</w:t>
            </w:r>
          </w:p>
        </w:tc>
      </w:tr>
      <w:tr w:rsidR="0080677E" w:rsidRPr="0080677E" w:rsidTr="002C643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F50" w:rsidRPr="0080677E" w:rsidRDefault="00E20F50" w:rsidP="00256F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80677E" w:rsidRPr="0080677E" w:rsidTr="002C643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F50" w:rsidRPr="0080677E" w:rsidRDefault="00E20F50" w:rsidP="00256F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F50" w:rsidRPr="0080677E" w:rsidRDefault="00E20F50" w:rsidP="00256F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0677E">
              <w:rPr>
                <w:rFonts w:ascii="Calibri" w:hAnsi="Calibri" w:cs="Calibri"/>
                <w:color w:val="000000" w:themeColor="text1"/>
              </w:rPr>
              <w:t>100</w:t>
            </w:r>
          </w:p>
        </w:tc>
      </w:tr>
    </w:tbl>
    <w:p w:rsidR="00291682" w:rsidRPr="0080677E" w:rsidRDefault="00291682" w:rsidP="00256F37">
      <w:pPr>
        <w:spacing w:after="0"/>
        <w:jc w:val="center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E20F50" w:rsidRPr="0080677E" w:rsidRDefault="00E20F50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E20F50" w:rsidRPr="0080677E" w:rsidRDefault="00E20F50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E20F50" w:rsidRPr="0080677E" w:rsidRDefault="00E20F50" w:rsidP="002C6435">
      <w:pPr>
        <w:spacing w:after="0"/>
        <w:jc w:val="center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22A3BA37" wp14:editId="7E2BA7CB">
            <wp:extent cx="4572000" cy="2743200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0F50" w:rsidRPr="0080677E" w:rsidRDefault="00E20F50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A21A05" w:rsidRPr="0080677E" w:rsidRDefault="00A21A05" w:rsidP="00291682">
      <w:pPr>
        <w:spacing w:after="0"/>
        <w:jc w:val="both"/>
        <w:rPr>
          <w:b/>
          <w:noProof/>
          <w:color w:val="000000" w:themeColor="text1"/>
          <w:sz w:val="24"/>
          <w:szCs w:val="24"/>
          <w:lang w:val="en-IN" w:eastAsia="en-IN"/>
        </w:rPr>
      </w:pPr>
    </w:p>
    <w:p w:rsidR="009075C4" w:rsidRPr="0080677E" w:rsidRDefault="009075C4" w:rsidP="009075C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000000" w:themeColor="text1"/>
          <w:sz w:val="24"/>
          <w:szCs w:val="24"/>
          <w:lang w:val="en-IN" w:eastAsia="en-IN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Sub1</w:t>
      </w:r>
    </w:p>
    <w:p w:rsidR="009075C4" w:rsidRPr="0080677E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0F50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Sub1 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9075C4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Sub1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Sub1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6%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Sub1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9075C4" w:rsidRPr="0080677E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5C4" w:rsidRPr="0080677E" w:rsidRDefault="009075C4" w:rsidP="009075C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Sub2</w:t>
      </w:r>
    </w:p>
    <w:p w:rsidR="009075C4" w:rsidRPr="0080677E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4E80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9075C4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4%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Sub2 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9075C4" w:rsidRPr="0080677E" w:rsidRDefault="009075C4" w:rsidP="009075C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5C4" w:rsidRPr="0080677E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>Sub3</w:t>
      </w:r>
    </w:p>
    <w:p w:rsidR="00610F4A" w:rsidRPr="0080677E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0F50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9075C4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2%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Sub3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average</w:t>
      </w:r>
    </w:p>
    <w:p w:rsidR="009075C4" w:rsidRPr="0080677E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5C4" w:rsidRPr="0080677E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77E">
        <w:rPr>
          <w:b/>
          <w:noProof/>
          <w:color w:val="000000" w:themeColor="text1"/>
          <w:sz w:val="24"/>
          <w:szCs w:val="24"/>
          <w:lang w:val="en-IN" w:eastAsia="en-IN"/>
        </w:rPr>
        <w:t xml:space="preserve">Sub4 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75C4" w:rsidRPr="00806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0F4A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9075C4" w:rsidRPr="0080677E" w:rsidRDefault="00E20F5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9F10F5" w:rsidRPr="0080677E" w:rsidRDefault="00E20F5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8%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</w:t>
      </w:r>
      <w:r w:rsidR="007E3D0D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 </w:t>
      </w:r>
      <w:r w:rsidR="006751C3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Sub4 </w:t>
      </w:r>
      <w:r w:rsidR="009075C4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as averag</w:t>
      </w:r>
      <w:r w:rsidR="007D2532" w:rsidRPr="008067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:rsidR="00953341" w:rsidRPr="0080677E" w:rsidRDefault="00953341" w:rsidP="0095334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3341" w:rsidRPr="0080677E" w:rsidRDefault="00953341" w:rsidP="0095334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55C4" w:rsidRPr="0080677E" w:rsidRDefault="00AF55C4" w:rsidP="0095334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55C4" w:rsidRPr="0080677E" w:rsidRDefault="00AF55C4" w:rsidP="0095334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F55C4" w:rsidRPr="0080677E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155FE"/>
    <w:rsid w:val="00032BCB"/>
    <w:rsid w:val="00062130"/>
    <w:rsid w:val="00076D43"/>
    <w:rsid w:val="000929BF"/>
    <w:rsid w:val="000C45FA"/>
    <w:rsid w:val="000C4933"/>
    <w:rsid w:val="000C6516"/>
    <w:rsid w:val="000E2D42"/>
    <w:rsid w:val="000F17F7"/>
    <w:rsid w:val="0010400E"/>
    <w:rsid w:val="001332D5"/>
    <w:rsid w:val="0013523B"/>
    <w:rsid w:val="00143AE5"/>
    <w:rsid w:val="001578EA"/>
    <w:rsid w:val="00176203"/>
    <w:rsid w:val="00186FED"/>
    <w:rsid w:val="001A2DA3"/>
    <w:rsid w:val="001A7865"/>
    <w:rsid w:val="001B75E1"/>
    <w:rsid w:val="001C2BFD"/>
    <w:rsid w:val="001C5025"/>
    <w:rsid w:val="001F0194"/>
    <w:rsid w:val="00203AC7"/>
    <w:rsid w:val="0023588D"/>
    <w:rsid w:val="00254934"/>
    <w:rsid w:val="00256F37"/>
    <w:rsid w:val="00282929"/>
    <w:rsid w:val="00291682"/>
    <w:rsid w:val="002C1D27"/>
    <w:rsid w:val="002C6435"/>
    <w:rsid w:val="002F6BDD"/>
    <w:rsid w:val="00305A6C"/>
    <w:rsid w:val="003168AF"/>
    <w:rsid w:val="0031769D"/>
    <w:rsid w:val="00322B34"/>
    <w:rsid w:val="0033095A"/>
    <w:rsid w:val="003338AE"/>
    <w:rsid w:val="00355624"/>
    <w:rsid w:val="00396CF2"/>
    <w:rsid w:val="003B216A"/>
    <w:rsid w:val="003E704F"/>
    <w:rsid w:val="004455FE"/>
    <w:rsid w:val="004921C4"/>
    <w:rsid w:val="00496D52"/>
    <w:rsid w:val="004C29A0"/>
    <w:rsid w:val="004D4E80"/>
    <w:rsid w:val="00502DE2"/>
    <w:rsid w:val="00503997"/>
    <w:rsid w:val="005247F6"/>
    <w:rsid w:val="0053555F"/>
    <w:rsid w:val="00585F84"/>
    <w:rsid w:val="00591CB4"/>
    <w:rsid w:val="005F2858"/>
    <w:rsid w:val="005F6A02"/>
    <w:rsid w:val="00610F4A"/>
    <w:rsid w:val="006751C3"/>
    <w:rsid w:val="006840B6"/>
    <w:rsid w:val="00686C1D"/>
    <w:rsid w:val="00686F90"/>
    <w:rsid w:val="006956CF"/>
    <w:rsid w:val="00782964"/>
    <w:rsid w:val="007B6CBD"/>
    <w:rsid w:val="007D1B6A"/>
    <w:rsid w:val="007D2532"/>
    <w:rsid w:val="007E3D0D"/>
    <w:rsid w:val="0080677E"/>
    <w:rsid w:val="00831BA5"/>
    <w:rsid w:val="00856A5C"/>
    <w:rsid w:val="00873F82"/>
    <w:rsid w:val="00897C3B"/>
    <w:rsid w:val="008E5B55"/>
    <w:rsid w:val="008F193C"/>
    <w:rsid w:val="008F51BA"/>
    <w:rsid w:val="009004C2"/>
    <w:rsid w:val="009075C4"/>
    <w:rsid w:val="00935B7C"/>
    <w:rsid w:val="00953341"/>
    <w:rsid w:val="009678D9"/>
    <w:rsid w:val="009B64ED"/>
    <w:rsid w:val="009F10F5"/>
    <w:rsid w:val="00A21A05"/>
    <w:rsid w:val="00A2273A"/>
    <w:rsid w:val="00A24E17"/>
    <w:rsid w:val="00AA3250"/>
    <w:rsid w:val="00AE09EB"/>
    <w:rsid w:val="00AF55C4"/>
    <w:rsid w:val="00B02C56"/>
    <w:rsid w:val="00B22462"/>
    <w:rsid w:val="00B358D4"/>
    <w:rsid w:val="00B43394"/>
    <w:rsid w:val="00B567BB"/>
    <w:rsid w:val="00B62622"/>
    <w:rsid w:val="00B71044"/>
    <w:rsid w:val="00B73FA7"/>
    <w:rsid w:val="00BA70BF"/>
    <w:rsid w:val="00BD4146"/>
    <w:rsid w:val="00C032A1"/>
    <w:rsid w:val="00C12CBA"/>
    <w:rsid w:val="00C4003B"/>
    <w:rsid w:val="00C417D0"/>
    <w:rsid w:val="00C41F8E"/>
    <w:rsid w:val="00CA2440"/>
    <w:rsid w:val="00CB2D90"/>
    <w:rsid w:val="00CB719A"/>
    <w:rsid w:val="00CD2415"/>
    <w:rsid w:val="00CE4FFF"/>
    <w:rsid w:val="00CF4EA1"/>
    <w:rsid w:val="00D10101"/>
    <w:rsid w:val="00D309B4"/>
    <w:rsid w:val="00D41AF1"/>
    <w:rsid w:val="00D61FD2"/>
    <w:rsid w:val="00D702A7"/>
    <w:rsid w:val="00D72A32"/>
    <w:rsid w:val="00D91560"/>
    <w:rsid w:val="00E20F50"/>
    <w:rsid w:val="00E34B79"/>
    <w:rsid w:val="00E44406"/>
    <w:rsid w:val="00E96C25"/>
    <w:rsid w:val="00EC479C"/>
    <w:rsid w:val="00EF4CE6"/>
    <w:rsid w:val="00F03684"/>
    <w:rsid w:val="00F15871"/>
    <w:rsid w:val="00F21617"/>
    <w:rsid w:val="00F2161A"/>
    <w:rsid w:val="00F254FF"/>
    <w:rsid w:val="00F51018"/>
    <w:rsid w:val="00F75E81"/>
    <w:rsid w:val="00F85571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MPHIL%20URD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MPHIL%20URD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MPHIL%20URD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MPHIL%20URD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Sheet2!$A$220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Sheet2!$B$219:$E$219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Sheet2!$B$220:$E$220</c:f>
              <c:numCache>
                <c:formatCode>0</c:formatCode>
                <c:ptCount val="4"/>
                <c:pt idx="0">
                  <c:v>25.20325203252024</c:v>
                </c:pt>
                <c:pt idx="1">
                  <c:v>18.032786885245841</c:v>
                </c:pt>
                <c:pt idx="2">
                  <c:v>22.131147540983587</c:v>
                </c:pt>
                <c:pt idx="3">
                  <c:v>14.754098360655718</c:v>
                </c:pt>
              </c:numCache>
            </c:numRef>
          </c:val>
        </c:ser>
        <c:ser>
          <c:idx val="1"/>
          <c:order val="1"/>
          <c:tx>
            <c:strRef>
              <c:f>Sheet2!$A$221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Sheet2!$B$219:$E$219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Sheet2!$B$221:$E$221</c:f>
              <c:numCache>
                <c:formatCode>0</c:formatCode>
                <c:ptCount val="4"/>
                <c:pt idx="0">
                  <c:v>47.967479674796614</c:v>
                </c:pt>
                <c:pt idx="1">
                  <c:v>44.26229508196721</c:v>
                </c:pt>
                <c:pt idx="2">
                  <c:v>54.098360655737707</c:v>
                </c:pt>
                <c:pt idx="3">
                  <c:v>47.540983606557376</c:v>
                </c:pt>
              </c:numCache>
            </c:numRef>
          </c:val>
        </c:ser>
        <c:ser>
          <c:idx val="2"/>
          <c:order val="2"/>
          <c:tx>
            <c:strRef>
              <c:f>Sheet2!$A$222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Sheet2!$B$219:$E$219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Sheet2!$B$222:$E$222</c:f>
              <c:numCache>
                <c:formatCode>0</c:formatCode>
                <c:ptCount val="4"/>
                <c:pt idx="0">
                  <c:v>24.390243902438989</c:v>
                </c:pt>
                <c:pt idx="1">
                  <c:v>30.32786885245908</c:v>
                </c:pt>
                <c:pt idx="2">
                  <c:v>19.672131147540984</c:v>
                </c:pt>
                <c:pt idx="3">
                  <c:v>30.32786885245908</c:v>
                </c:pt>
              </c:numCache>
            </c:numRef>
          </c:val>
        </c:ser>
        <c:ser>
          <c:idx val="3"/>
          <c:order val="3"/>
          <c:tx>
            <c:strRef>
              <c:f>Sheet2!$A$223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Sheet2!$B$219:$E$219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Sheet2!$B$223:$E$223</c:f>
              <c:numCache>
                <c:formatCode>0</c:formatCode>
                <c:ptCount val="4"/>
                <c:pt idx="0">
                  <c:v>2.4390243902439024</c:v>
                </c:pt>
                <c:pt idx="1">
                  <c:v>7.3770491803278828</c:v>
                </c:pt>
                <c:pt idx="2">
                  <c:v>4.0983606557377064</c:v>
                </c:pt>
                <c:pt idx="3">
                  <c:v>7.3770491803278828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71018624"/>
        <c:axId val="273043840"/>
        <c:axId val="0"/>
      </c:bar3DChart>
      <c:catAx>
        <c:axId val="2710186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73043840"/>
        <c:crosses val="autoZero"/>
        <c:auto val="1"/>
        <c:lblAlgn val="ctr"/>
        <c:lblOffset val="100"/>
        <c:noMultiLvlLbl val="0"/>
      </c:catAx>
      <c:valAx>
        <c:axId val="27304384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71018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Sheet2!$H$222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Sheet2!$I$221:$L$221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Sheet2!$I$222:$L$222</c:f>
              <c:numCache>
                <c:formatCode>0</c:formatCode>
                <c:ptCount val="4"/>
                <c:pt idx="0">
                  <c:v>7.3033707865168536</c:v>
                </c:pt>
                <c:pt idx="1">
                  <c:v>3.9325842696629212</c:v>
                </c:pt>
                <c:pt idx="2">
                  <c:v>3.3707865168539342</c:v>
                </c:pt>
                <c:pt idx="3">
                  <c:v>6.1797752808988804</c:v>
                </c:pt>
              </c:numCache>
            </c:numRef>
          </c:val>
        </c:ser>
        <c:ser>
          <c:idx val="1"/>
          <c:order val="1"/>
          <c:tx>
            <c:strRef>
              <c:f>Sheet2!$H$223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Sheet2!$I$221:$L$221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Sheet2!$I$223:$L$223</c:f>
              <c:numCache>
                <c:formatCode>0</c:formatCode>
                <c:ptCount val="4"/>
                <c:pt idx="0">
                  <c:v>41.011235955056144</c:v>
                </c:pt>
                <c:pt idx="1">
                  <c:v>35.955056179775276</c:v>
                </c:pt>
                <c:pt idx="2">
                  <c:v>45.505617977528111</c:v>
                </c:pt>
                <c:pt idx="3">
                  <c:v>28.651685393258493</c:v>
                </c:pt>
              </c:numCache>
            </c:numRef>
          </c:val>
        </c:ser>
        <c:ser>
          <c:idx val="2"/>
          <c:order val="2"/>
          <c:tx>
            <c:strRef>
              <c:f>Sheet2!$H$224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Sheet2!$I$221:$L$221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Sheet2!$I$224:$L$224</c:f>
              <c:numCache>
                <c:formatCode>0</c:formatCode>
                <c:ptCount val="4"/>
                <c:pt idx="0">
                  <c:v>43.820224719101127</c:v>
                </c:pt>
                <c:pt idx="1">
                  <c:v>51.685393258427013</c:v>
                </c:pt>
                <c:pt idx="2">
                  <c:v>39.325842696629216</c:v>
                </c:pt>
                <c:pt idx="3">
                  <c:v>53.370786516853926</c:v>
                </c:pt>
              </c:numCache>
            </c:numRef>
          </c:val>
        </c:ser>
        <c:ser>
          <c:idx val="3"/>
          <c:order val="3"/>
          <c:tx>
            <c:strRef>
              <c:f>Sheet2!$H$225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Sheet2!$I$221:$L$221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Sheet2!$I$225:$L$225</c:f>
              <c:numCache>
                <c:formatCode>0</c:formatCode>
                <c:ptCount val="4"/>
                <c:pt idx="0">
                  <c:v>7.8651685393258335</c:v>
                </c:pt>
                <c:pt idx="1">
                  <c:v>8.4269662921348321</c:v>
                </c:pt>
                <c:pt idx="2">
                  <c:v>11.79775280898877</c:v>
                </c:pt>
                <c:pt idx="3">
                  <c:v>11.79775280898877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6169344"/>
        <c:axId val="136170880"/>
        <c:axId val="0"/>
      </c:bar3DChart>
      <c:catAx>
        <c:axId val="136169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6170880"/>
        <c:crosses val="autoZero"/>
        <c:auto val="1"/>
        <c:lblAlgn val="ctr"/>
        <c:lblOffset val="100"/>
        <c:noMultiLvlLbl val="0"/>
      </c:catAx>
      <c:valAx>
        <c:axId val="13617088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61693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Sheet2!$O$215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Sheet2!$P$214:$S$214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Sheet2!$P$215:$S$215</c:f>
              <c:numCache>
                <c:formatCode>0</c:formatCode>
                <c:ptCount val="4"/>
                <c:pt idx="0">
                  <c:v>7.9365079365079358</c:v>
                </c:pt>
                <c:pt idx="1">
                  <c:v>9.5238095238095237</c:v>
                </c:pt>
                <c:pt idx="2">
                  <c:v>3.1746031746031727</c:v>
                </c:pt>
                <c:pt idx="3">
                  <c:v>6.3492063492063489</c:v>
                </c:pt>
              </c:numCache>
            </c:numRef>
          </c:val>
        </c:ser>
        <c:ser>
          <c:idx val="1"/>
          <c:order val="1"/>
          <c:tx>
            <c:strRef>
              <c:f>Sheet2!$O$216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Sheet2!$P$214:$S$214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Sheet2!$P$216:$S$216</c:f>
              <c:numCache>
                <c:formatCode>0</c:formatCode>
                <c:ptCount val="4"/>
                <c:pt idx="0">
                  <c:v>34.920634920634917</c:v>
                </c:pt>
                <c:pt idx="1">
                  <c:v>33.333333333333329</c:v>
                </c:pt>
                <c:pt idx="2">
                  <c:v>33.333333333333329</c:v>
                </c:pt>
                <c:pt idx="3">
                  <c:v>28.571428571428569</c:v>
                </c:pt>
              </c:numCache>
            </c:numRef>
          </c:val>
        </c:ser>
        <c:ser>
          <c:idx val="2"/>
          <c:order val="2"/>
          <c:tx>
            <c:strRef>
              <c:f>Sheet2!$O$217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Sheet2!$P$214:$S$214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Sheet2!$P$217:$S$217</c:f>
              <c:numCache>
                <c:formatCode>0</c:formatCode>
                <c:ptCount val="4"/>
                <c:pt idx="0">
                  <c:v>42.857142857142769</c:v>
                </c:pt>
                <c:pt idx="1">
                  <c:v>53.968253968253968</c:v>
                </c:pt>
                <c:pt idx="2">
                  <c:v>50.793650793650812</c:v>
                </c:pt>
                <c:pt idx="3">
                  <c:v>50.793650793650812</c:v>
                </c:pt>
              </c:numCache>
            </c:numRef>
          </c:val>
        </c:ser>
        <c:ser>
          <c:idx val="3"/>
          <c:order val="3"/>
          <c:tx>
            <c:strRef>
              <c:f>Sheet2!$O$218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Sheet2!$P$214:$S$214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Sheet2!$P$218:$S$218</c:f>
              <c:numCache>
                <c:formatCode>0</c:formatCode>
                <c:ptCount val="4"/>
                <c:pt idx="0">
                  <c:v>14.285714285714286</c:v>
                </c:pt>
                <c:pt idx="1">
                  <c:v>3.1746031746031727</c:v>
                </c:pt>
                <c:pt idx="2">
                  <c:v>12.698412698412699</c:v>
                </c:pt>
                <c:pt idx="3">
                  <c:v>14.285714285714286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4931072"/>
        <c:axId val="204932608"/>
        <c:axId val="0"/>
      </c:bar3DChart>
      <c:catAx>
        <c:axId val="2049310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932608"/>
        <c:crosses val="autoZero"/>
        <c:auto val="1"/>
        <c:lblAlgn val="ctr"/>
        <c:lblOffset val="100"/>
        <c:noMultiLvlLbl val="0"/>
      </c:catAx>
      <c:valAx>
        <c:axId val="20493260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9310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Sheet2!$V$215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Sheet2!$W$214:$Z$214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Sheet2!$W$215:$Z$215</c:f>
              <c:numCache>
                <c:formatCode>0</c:formatCode>
                <c:ptCount val="4"/>
                <c:pt idx="0">
                  <c:v>6.25</c:v>
                </c:pt>
                <c:pt idx="1">
                  <c:v>4.1666666666666661</c:v>
                </c:pt>
                <c:pt idx="2">
                  <c:v>2.083333333333337</c:v>
                </c:pt>
                <c:pt idx="3">
                  <c:v>8.3333333333333321</c:v>
                </c:pt>
              </c:numCache>
            </c:numRef>
          </c:val>
        </c:ser>
        <c:ser>
          <c:idx val="1"/>
          <c:order val="1"/>
          <c:tx>
            <c:strRef>
              <c:f>Sheet2!$V$216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Sheet2!$W$214:$Z$214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Sheet2!$W$216:$Z$216</c:f>
              <c:numCache>
                <c:formatCode>0</c:formatCode>
                <c:ptCount val="4"/>
                <c:pt idx="0">
                  <c:v>33.333333333333329</c:v>
                </c:pt>
                <c:pt idx="1">
                  <c:v>35.416666666666487</c:v>
                </c:pt>
                <c:pt idx="2">
                  <c:v>35.416666666666487</c:v>
                </c:pt>
                <c:pt idx="3">
                  <c:v>41.666666666666544</c:v>
                </c:pt>
              </c:numCache>
            </c:numRef>
          </c:val>
        </c:ser>
        <c:ser>
          <c:idx val="2"/>
          <c:order val="2"/>
          <c:tx>
            <c:strRef>
              <c:f>Sheet2!$V$217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Sheet2!$W$214:$Z$214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Sheet2!$W$217:$Z$217</c:f>
              <c:numCache>
                <c:formatCode>0</c:formatCode>
                <c:ptCount val="4"/>
                <c:pt idx="0">
                  <c:v>50</c:v>
                </c:pt>
                <c:pt idx="1">
                  <c:v>43.75</c:v>
                </c:pt>
                <c:pt idx="2">
                  <c:v>52.083333333333336</c:v>
                </c:pt>
                <c:pt idx="3">
                  <c:v>41.666666666666544</c:v>
                </c:pt>
              </c:numCache>
            </c:numRef>
          </c:val>
        </c:ser>
        <c:ser>
          <c:idx val="3"/>
          <c:order val="3"/>
          <c:tx>
            <c:strRef>
              <c:f>Sheet2!$V$218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Sheet2!$W$214:$Z$214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Sheet2!$W$218:$Z$218</c:f>
              <c:numCache>
                <c:formatCode>0</c:formatCode>
                <c:ptCount val="4"/>
                <c:pt idx="0">
                  <c:v>10.416666666666686</c:v>
                </c:pt>
                <c:pt idx="1">
                  <c:v>16.666666666666664</c:v>
                </c:pt>
                <c:pt idx="2">
                  <c:v>10.416666666666686</c:v>
                </c:pt>
                <c:pt idx="3">
                  <c:v>8.3333333333333321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4949376"/>
        <c:axId val="204950912"/>
        <c:axId val="0"/>
      </c:bar3DChart>
      <c:catAx>
        <c:axId val="2049493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950912"/>
        <c:crosses val="autoZero"/>
        <c:auto val="1"/>
        <c:lblAlgn val="ctr"/>
        <c:lblOffset val="100"/>
        <c:noMultiLvlLbl val="0"/>
      </c:catAx>
      <c:valAx>
        <c:axId val="204950912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9493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2018-06-06T00:40:00Z</dcterms:created>
  <dcterms:modified xsi:type="dcterms:W3CDTF">2018-10-16T13:11:00Z</dcterms:modified>
</cp:coreProperties>
</file>