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062130">
      <w:pPr>
        <w:tabs>
          <w:tab w:val="left" w:pos="68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935B7C">
        <w:rPr>
          <w:rFonts w:ascii="Times New Roman" w:hAnsi="Times New Roman" w:cs="Times New Roman"/>
          <w:b/>
          <w:sz w:val="24"/>
          <w:szCs w:val="24"/>
        </w:rPr>
        <w:t>M.A-</w:t>
      </w:r>
      <w:r w:rsidR="00C41F8E">
        <w:rPr>
          <w:rFonts w:ascii="Times New Roman" w:hAnsi="Times New Roman" w:cs="Times New Roman"/>
          <w:b/>
          <w:sz w:val="24"/>
          <w:szCs w:val="24"/>
        </w:rPr>
        <w:t>II</w:t>
      </w:r>
      <w:r w:rsidR="005F3B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7C">
        <w:rPr>
          <w:rFonts w:ascii="Times New Roman" w:hAnsi="Times New Roman" w:cs="Times New Roman"/>
          <w:b/>
          <w:sz w:val="24"/>
          <w:szCs w:val="24"/>
        </w:rPr>
        <w:t>Urdu</w:t>
      </w:r>
      <w:r w:rsidR="00062130">
        <w:rPr>
          <w:rFonts w:ascii="Times New Roman" w:hAnsi="Times New Roman" w:cs="Times New Roman"/>
          <w:b/>
          <w:sz w:val="24"/>
          <w:szCs w:val="24"/>
        </w:rPr>
        <w:t>, 2017-2018</w:t>
      </w:r>
      <w:r w:rsidR="00C41F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2130">
        <w:rPr>
          <w:rFonts w:ascii="Times New Roman" w:hAnsi="Times New Roman" w:cs="Times New Roman"/>
          <w:b/>
          <w:sz w:val="24"/>
          <w:szCs w:val="24"/>
        </w:rPr>
        <w:tab/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CB2D90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CB2D90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CB2D90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CB2D90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CB2D90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AE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CB2D90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D90" w:rsidRPr="001A2DA3" w:rsidRDefault="00CB2D90" w:rsidP="00AE3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B2D9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D90" w:rsidRPr="001A2DA3" w:rsidRDefault="00CB2D90" w:rsidP="00AE3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B2D9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D90" w:rsidRPr="001A2DA3" w:rsidRDefault="00CB2D90" w:rsidP="00AE3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B2D9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D90" w:rsidRPr="001A2DA3" w:rsidRDefault="00CB2D90" w:rsidP="00AE3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F75E81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B2D9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D90" w:rsidRPr="001A2DA3" w:rsidRDefault="00CB2D90" w:rsidP="00AE3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90" w:rsidRDefault="00CB2D90" w:rsidP="00AE3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Default="000F17F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0F17F7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282783" cy="2477069"/>
            <wp:effectExtent l="19050" t="0" r="13117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479C" w:rsidRDefault="00EC479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EC479C" w:rsidRDefault="00EC479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EC479C" w:rsidRDefault="00EC479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EC479C" w:rsidRDefault="00EC479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EC479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873F82" w:rsidRPr="00236F1C" w:rsidRDefault="00EC479C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Sub1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EC479C" w:rsidP="00EC479C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236F1C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Pr="00EC4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EC479C" w:rsidRPr="00236F1C" w:rsidRDefault="00EC479C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EC479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EC479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9C">
        <w:rPr>
          <w:rFonts w:ascii="Times New Roman" w:hAnsi="Times New Roman" w:cs="Times New Roman"/>
          <w:sz w:val="24"/>
          <w:szCs w:val="24"/>
        </w:rPr>
        <w:t>5</w:t>
      </w:r>
      <w:r w:rsidR="00EC479C">
        <w:rPr>
          <w:rFonts w:ascii="Times New Roman" w:hAnsi="Times New Roman" w:cs="Times New Roman"/>
          <w:sz w:val="24"/>
          <w:szCs w:val="24"/>
        </w:rPr>
        <w:t>1</w:t>
      </w:r>
      <w:r w:rsidR="0033095A" w:rsidRPr="00EC479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Sub2  </w:t>
      </w:r>
      <w:r w:rsidR="0033095A" w:rsidRPr="00EC479C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236F1C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EC479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Sub3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EC479C" w:rsidRDefault="00EC479C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9C" w:rsidRPr="00236F1C" w:rsidRDefault="00EC479C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EC479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EC479C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EC479C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EC47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EC479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Sub4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EC479C" w:rsidRDefault="00F85571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C479C">
        <w:rPr>
          <w:rFonts w:ascii="Times New Roman" w:hAnsi="Times New Roman" w:cs="Times New Roman"/>
          <w:sz w:val="24"/>
          <w:szCs w:val="24"/>
        </w:rPr>
        <w:t>outstanding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9C" w:rsidRPr="00236F1C" w:rsidRDefault="00F85571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3095A" w:rsidRPr="00EC479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as </w:t>
      </w:r>
      <w:r w:rsidR="00EC479C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EC479C" w:rsidRDefault="00F8557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EC479C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236F1C" w:rsidRDefault="00F75E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EC479C" w:rsidP="00EC479C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EC479C" w:rsidRDefault="00F75E81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9C"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C479C">
        <w:rPr>
          <w:rFonts w:ascii="Times New Roman" w:hAnsi="Times New Roman" w:cs="Times New Roman"/>
          <w:sz w:val="24"/>
          <w:szCs w:val="24"/>
        </w:rPr>
        <w:t>outstanding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9C" w:rsidRPr="00236F1C" w:rsidRDefault="00F75E81" w:rsidP="00EC47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as </w:t>
      </w:r>
      <w:r w:rsidR="00EC479C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EC479C" w:rsidRDefault="00F75E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58%</w:t>
      </w:r>
      <w:r w:rsidR="0033095A" w:rsidRPr="00EC479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C3B3A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EC479C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AC3B3A" w:rsidRPr="00AC3B3A">
        <w:rPr>
          <w:rFonts w:ascii="Times New Roman" w:hAnsi="Times New Roman" w:cs="Times New Roman"/>
          <w:sz w:val="24"/>
          <w:szCs w:val="24"/>
        </w:rPr>
        <w:t xml:space="preserve"> </w:t>
      </w:r>
      <w:r w:rsidR="00AC3B3A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372" w:type="dxa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  <w:gridCol w:w="895"/>
        <w:gridCol w:w="894"/>
      </w:tblGrid>
      <w:tr w:rsidR="009678D9" w:rsidRPr="001A2DA3" w:rsidTr="009678D9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678D9" w:rsidRPr="000C6516" w:rsidRDefault="009678D9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678D9" w:rsidRPr="000C6516" w:rsidRDefault="009678D9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678D9" w:rsidRPr="000C6516" w:rsidRDefault="009678D9" w:rsidP="0096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9678D9" w:rsidRPr="001A2DA3" w:rsidTr="009678D9">
        <w:trPr>
          <w:trHeight w:val="3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678D9" w:rsidRPr="001A2DA3" w:rsidRDefault="009678D9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678D9" w:rsidRPr="001A2DA3" w:rsidTr="009678D9">
        <w:trPr>
          <w:trHeight w:val="2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D9" w:rsidRPr="001A2DA3" w:rsidRDefault="009678D9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678D9" w:rsidRPr="001A2DA3" w:rsidTr="009678D9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D9" w:rsidRPr="001A2DA3" w:rsidRDefault="009678D9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9678D9" w:rsidRPr="001A2DA3" w:rsidTr="009678D9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D9" w:rsidRPr="001A2DA3" w:rsidRDefault="009678D9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678D9" w:rsidRPr="001A2DA3" w:rsidTr="009678D9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D9" w:rsidRPr="001A2DA3" w:rsidRDefault="009678D9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678D9" w:rsidRPr="001A2DA3" w:rsidTr="009678D9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D9" w:rsidRPr="001A2DA3" w:rsidRDefault="009678D9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D9" w:rsidRDefault="009678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D309B4" w:rsidP="00D309B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D309B4">
        <w:rPr>
          <w:b/>
          <w:noProof/>
          <w:sz w:val="24"/>
          <w:szCs w:val="24"/>
        </w:rPr>
        <w:lastRenderedPageBreak/>
        <w:drawing>
          <wp:inline distT="0" distB="0" distL="0" distR="0" wp14:anchorId="179F61E4" wp14:editId="587B2724">
            <wp:extent cx="5111090" cy="3181317"/>
            <wp:effectExtent l="19050" t="0" r="13360" b="33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BA70BF" w:rsidRDefault="005F3B95" w:rsidP="005F3B9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>Please write name of Teacher of sub 1</w:t>
      </w:r>
    </w:p>
    <w:p w:rsidR="0033095A" w:rsidRPr="00BA70BF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</w:t>
      </w:r>
      <w:r w:rsidR="00BA70BF" w:rsidRPr="00D41AF1">
        <w:rPr>
          <w:rFonts w:ascii="Times New Roman" w:hAnsi="Times New Roman" w:cs="Times New Roman"/>
          <w:sz w:val="24"/>
          <w:szCs w:val="24"/>
        </w:rPr>
        <w:t xml:space="preserve">of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 w:rsidRPr="00D41AF1">
        <w:rPr>
          <w:rFonts w:ascii="Times New Roman" w:hAnsi="Times New Roman" w:cs="Times New Roman"/>
          <w:sz w:val="24"/>
          <w:szCs w:val="24"/>
        </w:rPr>
        <w:t>1</w:t>
      </w:r>
      <w:r w:rsidR="0033095A" w:rsidRPr="00D41AF1">
        <w:rPr>
          <w:rFonts w:ascii="Times New Roman" w:hAnsi="Times New Roman" w:cs="Times New Roman"/>
          <w:sz w:val="24"/>
          <w:szCs w:val="24"/>
        </w:rPr>
        <w:t>as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BA70BF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24% 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 w:rsidRPr="00D41AF1">
        <w:rPr>
          <w:rFonts w:ascii="Times New Roman" w:hAnsi="Times New Roman" w:cs="Times New Roman"/>
          <w:sz w:val="24"/>
          <w:szCs w:val="24"/>
        </w:rPr>
        <w:t>1</w:t>
      </w:r>
      <w:r w:rsidR="00D41AF1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 w:rsidRPr="00D41AF1">
        <w:rPr>
          <w:rFonts w:ascii="Times New Roman" w:hAnsi="Times New Roman" w:cs="Times New Roman"/>
          <w:sz w:val="24"/>
          <w:szCs w:val="24"/>
        </w:rPr>
        <w:t>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 w:rsidRPr="00D41AF1">
        <w:rPr>
          <w:rFonts w:ascii="Times New Roman" w:hAnsi="Times New Roman" w:cs="Times New Roman"/>
          <w:sz w:val="24"/>
          <w:szCs w:val="24"/>
        </w:rPr>
        <w:t>1</w:t>
      </w:r>
      <w:r w:rsidR="00D41AF1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41AF1" w:rsidRDefault="005F3B9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D41AF1" w:rsidRPr="00D4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</w:p>
    <w:p w:rsidR="0033095A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41AF1" w:rsidRPr="00D549BA">
        <w:rPr>
          <w:rFonts w:ascii="Times New Roman" w:hAnsi="Times New Roman" w:cs="Times New Roman"/>
          <w:sz w:val="24"/>
          <w:szCs w:val="24"/>
        </w:rPr>
        <w:t>outstanding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>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</w:t>
      </w:r>
      <w:r w:rsidR="00D41AF1" w:rsidRPr="00D41AF1">
        <w:rPr>
          <w:rFonts w:ascii="Times New Roman" w:hAnsi="Times New Roman" w:cs="Times New Roman"/>
          <w:sz w:val="24"/>
          <w:szCs w:val="24"/>
        </w:rPr>
        <w:t xml:space="preserve"> </w:t>
      </w:r>
      <w:r w:rsidR="00D41AF1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929">
        <w:rPr>
          <w:rFonts w:ascii="Times New Roman" w:hAnsi="Times New Roman" w:cs="Times New Roman"/>
          <w:sz w:val="24"/>
          <w:szCs w:val="24"/>
        </w:rPr>
        <w:t>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3E70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41AF1" w:rsidRDefault="005F3B9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D41AF1" w:rsidRPr="00D4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</w:p>
    <w:p w:rsidR="00282929" w:rsidRPr="00D549BA" w:rsidRDefault="003E704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41AF1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D549BA" w:rsidRDefault="003E704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41AF1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3E704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D41AF1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3E704F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41AF1" w:rsidRDefault="005F3B9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333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4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41AF1" w:rsidRPr="00D549BA">
        <w:rPr>
          <w:rFonts w:ascii="Times New Roman" w:hAnsi="Times New Roman" w:cs="Times New Roman"/>
          <w:sz w:val="24"/>
          <w:szCs w:val="24"/>
        </w:rPr>
        <w:t>outstanding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4 </w:t>
      </w:r>
      <w:r w:rsidR="0033095A" w:rsidRPr="00D549BA">
        <w:rPr>
          <w:rFonts w:ascii="Times New Roman" w:hAnsi="Times New Roman" w:cs="Times New Roman"/>
          <w:sz w:val="24"/>
          <w:szCs w:val="24"/>
        </w:rPr>
        <w:t>as</w:t>
      </w:r>
      <w:r w:rsidR="00D41AF1" w:rsidRPr="00D41AF1">
        <w:rPr>
          <w:rFonts w:ascii="Times New Roman" w:hAnsi="Times New Roman" w:cs="Times New Roman"/>
          <w:sz w:val="24"/>
          <w:szCs w:val="24"/>
        </w:rPr>
        <w:t xml:space="preserve"> </w:t>
      </w:r>
      <w:r w:rsidR="00D41AF1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4B5F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924B5F" w:rsidRPr="00924B5F" w:rsidRDefault="00924B5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5F3B9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D41AF1">
        <w:rPr>
          <w:b/>
          <w:noProof/>
          <w:sz w:val="24"/>
          <w:szCs w:val="24"/>
          <w:lang w:val="en-IN" w:eastAsia="en-IN"/>
        </w:rPr>
        <w:t>5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3338AE">
        <w:rPr>
          <w:rFonts w:ascii="Times New Roman" w:hAnsi="Times New Roman" w:cs="Times New Roman"/>
          <w:sz w:val="24"/>
          <w:szCs w:val="24"/>
        </w:rPr>
        <w:t xml:space="preserve">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41AF1" w:rsidRPr="00D549BA">
        <w:rPr>
          <w:rFonts w:ascii="Times New Roman" w:hAnsi="Times New Roman" w:cs="Times New Roman"/>
          <w:sz w:val="24"/>
          <w:szCs w:val="24"/>
        </w:rPr>
        <w:t>outstanding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5F2858">
        <w:rPr>
          <w:rFonts w:ascii="Times New Roman" w:hAnsi="Times New Roman" w:cs="Times New Roman"/>
          <w:sz w:val="24"/>
          <w:szCs w:val="24"/>
        </w:rPr>
        <w:t>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41AF1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5F2858">
        <w:rPr>
          <w:rFonts w:ascii="Times New Roman" w:hAnsi="Times New Roman" w:cs="Times New Roman"/>
          <w:sz w:val="24"/>
          <w:szCs w:val="24"/>
        </w:rPr>
        <w:t xml:space="preserve">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CD2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5F3B95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5F2858">
        <w:rPr>
          <w:rFonts w:ascii="Times New Roman" w:hAnsi="Times New Roman" w:cs="Times New Roman"/>
          <w:sz w:val="24"/>
          <w:szCs w:val="24"/>
        </w:rPr>
        <w:t xml:space="preserve">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309B4" w:rsidRDefault="00D309B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372" w:type="dxa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  <w:gridCol w:w="895"/>
        <w:gridCol w:w="894"/>
      </w:tblGrid>
      <w:tr w:rsidR="00585F84" w:rsidRPr="001A2DA3" w:rsidTr="002C1D27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85F84" w:rsidRPr="000C6516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85F84" w:rsidRPr="009678D9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85F84" w:rsidRPr="009678D9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85F84" w:rsidRPr="009678D9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85F84" w:rsidRPr="000C6516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585F84" w:rsidRPr="000C6516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585F84" w:rsidRPr="001A2DA3" w:rsidTr="00585F84">
        <w:trPr>
          <w:trHeight w:val="4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85F84" w:rsidRPr="001A2DA3" w:rsidRDefault="00585F84" w:rsidP="002C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7B6CBD" w:rsidRPr="001A2DA3" w:rsidTr="002C1D27">
        <w:trPr>
          <w:trHeight w:val="2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CBD" w:rsidRPr="001A2DA3" w:rsidRDefault="007B6CB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 w:rsidP="007B6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6CBD" w:rsidRPr="001A2DA3" w:rsidTr="002C1D27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CBD" w:rsidRPr="001A2DA3" w:rsidRDefault="007B6CB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7B6CBD" w:rsidRPr="001A2DA3" w:rsidTr="002C1D27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CBD" w:rsidRPr="001A2DA3" w:rsidRDefault="007B6CB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B6CBD" w:rsidRPr="001A2DA3" w:rsidTr="002C1D27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CBD" w:rsidRPr="001A2DA3" w:rsidRDefault="007B6CB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B6CBD" w:rsidRPr="001A2DA3" w:rsidTr="002C1D27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CBD" w:rsidRPr="001A2DA3" w:rsidRDefault="007B6CBD" w:rsidP="002C1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BD" w:rsidRDefault="007B6C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85F84" w:rsidRDefault="00585F84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7B6CBD" w:rsidP="007B6CBD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7B6CBD">
        <w:rPr>
          <w:b/>
          <w:noProof/>
          <w:sz w:val="24"/>
          <w:szCs w:val="24"/>
        </w:rPr>
        <w:drawing>
          <wp:inline distT="0" distB="0" distL="0" distR="0" wp14:anchorId="07997C94" wp14:editId="264CEDD8">
            <wp:extent cx="4933950" cy="2905125"/>
            <wp:effectExtent l="19050" t="0" r="19050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0155FE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1F0194" w:rsidRDefault="000155FE" w:rsidP="001F019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21A05">
        <w:rPr>
          <w:rFonts w:ascii="Times New Roman" w:hAnsi="Times New Roman" w:cs="Times New Roman"/>
          <w:sz w:val="24"/>
          <w:szCs w:val="24"/>
        </w:rPr>
        <w:t>S</w:t>
      </w:r>
      <w:r w:rsidR="001F0194">
        <w:rPr>
          <w:rFonts w:ascii="Times New Roman" w:hAnsi="Times New Roman" w:cs="Times New Roman"/>
          <w:sz w:val="24"/>
          <w:szCs w:val="24"/>
        </w:rPr>
        <w:t xml:space="preserve">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F0194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F0194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F0194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0194" w:rsidRDefault="001F0194" w:rsidP="000155FE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194" w:rsidRDefault="001F0194" w:rsidP="000155FE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5A" w:rsidRPr="000155FE" w:rsidRDefault="000155FE" w:rsidP="000155FE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  <w:r w:rsidR="005F3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1F0194" w:rsidRPr="00236F1C" w:rsidRDefault="000155FE" w:rsidP="001F019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94">
        <w:rPr>
          <w:rFonts w:ascii="Times New Roman" w:hAnsi="Times New Roman" w:cs="Times New Roman"/>
          <w:sz w:val="24"/>
          <w:szCs w:val="24"/>
        </w:rPr>
        <w:t>16</w:t>
      </w:r>
      <w:r w:rsidR="0033095A" w:rsidRPr="001F019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1F0194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1F0194">
        <w:rPr>
          <w:rFonts w:ascii="Times New Roman" w:hAnsi="Times New Roman" w:cs="Times New Roman"/>
          <w:sz w:val="24"/>
          <w:szCs w:val="24"/>
        </w:rPr>
        <w:t xml:space="preserve">as </w:t>
      </w:r>
      <w:r w:rsidR="001F0194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1F0194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94">
        <w:rPr>
          <w:rFonts w:ascii="Times New Roman" w:hAnsi="Times New Roman" w:cs="Times New Roman"/>
          <w:sz w:val="24"/>
          <w:szCs w:val="24"/>
        </w:rPr>
        <w:t>12</w:t>
      </w:r>
      <w:r w:rsidR="0033095A" w:rsidRPr="001F019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1F0194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1F0194">
        <w:rPr>
          <w:rFonts w:ascii="Times New Roman" w:hAnsi="Times New Roman" w:cs="Times New Roman"/>
          <w:sz w:val="24"/>
          <w:szCs w:val="24"/>
        </w:rPr>
        <w:t xml:space="preserve">as </w:t>
      </w:r>
      <w:r w:rsidR="001F0194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0155F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0155F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Sub4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155F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72A32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155F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5F3B95">
        <w:rPr>
          <w:b/>
          <w:noProof/>
          <w:sz w:val="24"/>
          <w:szCs w:val="24"/>
          <w:lang w:val="en-IN" w:eastAsia="en-IN"/>
        </w:rPr>
        <w:t xml:space="preserve"> </w:t>
      </w:r>
      <w:r w:rsidR="00170A15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33095A" w:rsidRPr="00236F1C" w:rsidRDefault="002C1D2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1587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C1D2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1587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1F0194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2C1D2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1587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F21617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1587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F21617" w:rsidRDefault="00F21617" w:rsidP="001C502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25" w:rsidRDefault="001C5025" w:rsidP="001C502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25" w:rsidRDefault="001C5025" w:rsidP="001C502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9D" w:rsidRDefault="0031769D" w:rsidP="0029168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91682" w:rsidRDefault="00291682" w:rsidP="0029168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291682" w:rsidRDefault="00291682" w:rsidP="0029168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075C4" w:rsidRDefault="00291682" w:rsidP="0029168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2" w:type="dxa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688"/>
        <w:gridCol w:w="895"/>
        <w:gridCol w:w="894"/>
      </w:tblGrid>
      <w:tr w:rsidR="009075C4" w:rsidRPr="001A2DA3" w:rsidTr="00A21A05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075C4" w:rsidRPr="000C6516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075C4" w:rsidRPr="009678D9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075C4" w:rsidRPr="009678D9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075C4" w:rsidRPr="009678D9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075C4" w:rsidRPr="000C6516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075C4" w:rsidRPr="000C6516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9075C4" w:rsidRPr="001A2DA3" w:rsidTr="00A21A05">
        <w:trPr>
          <w:trHeight w:val="4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75C4" w:rsidRPr="001A2DA3" w:rsidRDefault="009075C4" w:rsidP="00A2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A21A05" w:rsidRPr="001A2DA3" w:rsidTr="00A21A05">
        <w:trPr>
          <w:trHeight w:val="2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A05" w:rsidRPr="001A2DA3" w:rsidRDefault="00A21A05" w:rsidP="00A21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</w:tr>
      <w:tr w:rsidR="00A21A05" w:rsidRPr="001A2DA3" w:rsidTr="00A21A05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A05" w:rsidRPr="001A2DA3" w:rsidRDefault="00A21A05" w:rsidP="00A21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60</w:t>
            </w:r>
          </w:p>
        </w:tc>
      </w:tr>
      <w:tr w:rsidR="00A21A05" w:rsidRPr="001A2DA3" w:rsidTr="00A21A05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A05" w:rsidRPr="001A2DA3" w:rsidRDefault="00A21A05" w:rsidP="00A21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20</w:t>
            </w:r>
          </w:p>
        </w:tc>
      </w:tr>
      <w:tr w:rsidR="00A21A05" w:rsidRPr="001A2DA3" w:rsidTr="00A21A05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A05" w:rsidRPr="001A2DA3" w:rsidRDefault="00A21A05" w:rsidP="00A21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20</w:t>
            </w:r>
          </w:p>
        </w:tc>
      </w:tr>
      <w:tr w:rsidR="00A21A05" w:rsidRPr="001A2DA3" w:rsidTr="00A21A05">
        <w:trPr>
          <w:trHeight w:val="3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A05" w:rsidRPr="001A2DA3" w:rsidRDefault="00A21A05" w:rsidP="00A21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5" w:rsidRDefault="00A21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</w:tr>
    </w:tbl>
    <w:p w:rsidR="00291682" w:rsidRDefault="00291682" w:rsidP="0029168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075C4" w:rsidRDefault="00A21A05" w:rsidP="005F3B9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A21A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3657" cy="2743200"/>
            <wp:effectExtent l="19050" t="0" r="17393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noProof/>
          <w:sz w:val="24"/>
          <w:szCs w:val="24"/>
          <w:lang w:val="en-IN" w:eastAsia="en-IN"/>
        </w:rPr>
        <w:br w:type="textWrapping" w:clear="all"/>
      </w:r>
      <w:r w:rsidR="009075C4">
        <w:rPr>
          <w:b/>
          <w:noProof/>
          <w:sz w:val="24"/>
          <w:szCs w:val="24"/>
          <w:lang w:val="en-IN" w:eastAsia="en-IN"/>
        </w:rPr>
        <w:lastRenderedPageBreak/>
        <w:t>Sub1</w:t>
      </w:r>
    </w:p>
    <w:p w:rsidR="009075C4" w:rsidRPr="00236F1C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0F4A"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>
        <w:rPr>
          <w:rFonts w:ascii="Times New Roman" w:hAnsi="Times New Roman" w:cs="Times New Roman"/>
          <w:sz w:val="24"/>
          <w:szCs w:val="24"/>
        </w:rPr>
        <w:t>outstanding</w:t>
      </w:r>
    </w:p>
    <w:p w:rsidR="009075C4" w:rsidRPr="00236F1C" w:rsidRDefault="00610F4A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075C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Sub1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075C4" w:rsidRPr="00236F1C" w:rsidRDefault="00610F4A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075C4">
        <w:rPr>
          <w:rFonts w:ascii="Times New Roman" w:hAnsi="Times New Roman" w:cs="Times New Roman"/>
          <w:sz w:val="24"/>
          <w:szCs w:val="24"/>
        </w:rPr>
        <w:t xml:space="preserve">%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Sub1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075C4">
        <w:rPr>
          <w:rFonts w:ascii="Times New Roman" w:hAnsi="Times New Roman" w:cs="Times New Roman"/>
          <w:sz w:val="24"/>
          <w:szCs w:val="24"/>
        </w:rPr>
        <w:t>good</w:t>
      </w:r>
    </w:p>
    <w:p w:rsidR="009075C4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075C4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75C4" w:rsidRPr="000155FE" w:rsidRDefault="009075C4" w:rsidP="009075C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9075C4" w:rsidRPr="00236F1C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4E80"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>
        <w:rPr>
          <w:rFonts w:ascii="Times New Roman" w:hAnsi="Times New Roman" w:cs="Times New Roman"/>
          <w:sz w:val="24"/>
          <w:szCs w:val="24"/>
        </w:rPr>
        <w:t>outstanding</w:t>
      </w:r>
    </w:p>
    <w:p w:rsidR="009075C4" w:rsidRPr="00236F1C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5C4">
        <w:rPr>
          <w:rFonts w:ascii="Times New Roman" w:hAnsi="Times New Roman" w:cs="Times New Roman"/>
          <w:sz w:val="24"/>
          <w:szCs w:val="24"/>
        </w:rPr>
        <w:t>2</w:t>
      </w:r>
      <w:r w:rsidR="009075C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Sub2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075C4" w:rsidRPr="00236F1C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075C4">
        <w:rPr>
          <w:rFonts w:ascii="Times New Roman" w:hAnsi="Times New Roman" w:cs="Times New Roman"/>
          <w:sz w:val="24"/>
          <w:szCs w:val="24"/>
        </w:rPr>
        <w:t xml:space="preserve">%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Sub2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075C4">
        <w:rPr>
          <w:rFonts w:ascii="Times New Roman" w:hAnsi="Times New Roman" w:cs="Times New Roman"/>
          <w:sz w:val="24"/>
          <w:szCs w:val="24"/>
        </w:rPr>
        <w:t>good</w:t>
      </w:r>
    </w:p>
    <w:p w:rsidR="009075C4" w:rsidRPr="00236F1C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Sub2 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075C4" w:rsidRPr="00236F1C" w:rsidRDefault="009075C4" w:rsidP="009075C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075C4" w:rsidRPr="00B15C6F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10F4A" w:rsidRPr="00610F4A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4A">
        <w:rPr>
          <w:rFonts w:ascii="Times New Roman" w:hAnsi="Times New Roman" w:cs="Times New Roman"/>
          <w:sz w:val="24"/>
          <w:szCs w:val="24"/>
        </w:rPr>
        <w:t>1</w:t>
      </w:r>
      <w:r w:rsidR="004D4E80">
        <w:rPr>
          <w:rFonts w:ascii="Times New Roman" w:hAnsi="Times New Roman" w:cs="Times New Roman"/>
          <w:sz w:val="24"/>
          <w:szCs w:val="24"/>
        </w:rPr>
        <w:t>7</w:t>
      </w:r>
      <w:r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Sub3 </w:t>
      </w:r>
      <w:r w:rsidRPr="00610F4A">
        <w:rPr>
          <w:rFonts w:ascii="Times New Roman" w:hAnsi="Times New Roman" w:cs="Times New Roman"/>
          <w:sz w:val="24"/>
          <w:szCs w:val="24"/>
        </w:rPr>
        <w:t xml:space="preserve">as </w:t>
      </w:r>
      <w:r w:rsidR="00610F4A">
        <w:rPr>
          <w:rFonts w:ascii="Times New Roman" w:hAnsi="Times New Roman" w:cs="Times New Roman"/>
          <w:sz w:val="24"/>
          <w:szCs w:val="24"/>
        </w:rPr>
        <w:t>outstanding</w:t>
      </w:r>
      <w:r w:rsidR="00610F4A" w:rsidRPr="0061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C4" w:rsidRPr="00610F4A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075C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075C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Sub3 </w:t>
      </w:r>
      <w:r w:rsidR="009075C4" w:rsidRPr="00610F4A">
        <w:rPr>
          <w:rFonts w:ascii="Times New Roman" w:hAnsi="Times New Roman" w:cs="Times New Roman"/>
          <w:sz w:val="24"/>
          <w:szCs w:val="24"/>
        </w:rPr>
        <w:t xml:space="preserve">as </w:t>
      </w:r>
      <w:r w:rsidR="00610F4A" w:rsidRPr="00610F4A">
        <w:rPr>
          <w:rFonts w:ascii="Times New Roman" w:hAnsi="Times New Roman" w:cs="Times New Roman"/>
          <w:sz w:val="24"/>
          <w:szCs w:val="24"/>
        </w:rPr>
        <w:t>Excellent</w:t>
      </w:r>
    </w:p>
    <w:p w:rsidR="009075C4" w:rsidRPr="00236F1C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075C4">
        <w:rPr>
          <w:rFonts w:ascii="Times New Roman" w:hAnsi="Times New Roman" w:cs="Times New Roman"/>
          <w:sz w:val="24"/>
          <w:szCs w:val="24"/>
        </w:rPr>
        <w:t xml:space="preserve">%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Sub3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075C4">
        <w:rPr>
          <w:rFonts w:ascii="Times New Roman" w:hAnsi="Times New Roman" w:cs="Times New Roman"/>
          <w:sz w:val="24"/>
          <w:szCs w:val="24"/>
        </w:rPr>
        <w:t>good</w:t>
      </w:r>
    </w:p>
    <w:p w:rsidR="009075C4" w:rsidRPr="003E53F5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Sub3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075C4" w:rsidRPr="00236F1C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C4" w:rsidRPr="00B15C6F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9075C4" w:rsidRPr="00236F1C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4E80"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>
        <w:rPr>
          <w:rFonts w:ascii="Times New Roman" w:hAnsi="Times New Roman" w:cs="Times New Roman"/>
          <w:sz w:val="24"/>
          <w:szCs w:val="24"/>
        </w:rPr>
        <w:t>outstanding</w:t>
      </w:r>
    </w:p>
    <w:p w:rsidR="009075C4" w:rsidRPr="00236F1C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075C4">
        <w:rPr>
          <w:rFonts w:ascii="Times New Roman" w:hAnsi="Times New Roman" w:cs="Times New Roman"/>
          <w:sz w:val="24"/>
          <w:szCs w:val="24"/>
        </w:rPr>
        <w:t>%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Sub4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075C4" w:rsidRPr="00236F1C" w:rsidRDefault="004D4E80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075C4">
        <w:rPr>
          <w:rFonts w:ascii="Times New Roman" w:hAnsi="Times New Roman" w:cs="Times New Roman"/>
          <w:sz w:val="24"/>
          <w:szCs w:val="24"/>
        </w:rPr>
        <w:t>%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Sub4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075C4">
        <w:rPr>
          <w:rFonts w:ascii="Times New Roman" w:hAnsi="Times New Roman" w:cs="Times New Roman"/>
          <w:sz w:val="24"/>
          <w:szCs w:val="24"/>
        </w:rPr>
        <w:t>good</w:t>
      </w:r>
    </w:p>
    <w:p w:rsidR="009075C4" w:rsidRPr="00236F1C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075C4" w:rsidRDefault="009075C4" w:rsidP="009075C4">
      <w:pPr>
        <w:rPr>
          <w:rFonts w:ascii="Times New Roman" w:hAnsi="Times New Roman" w:cs="Times New Roman"/>
          <w:sz w:val="24"/>
          <w:szCs w:val="24"/>
        </w:rPr>
      </w:pPr>
    </w:p>
    <w:p w:rsidR="009075C4" w:rsidRPr="00B15C6F" w:rsidRDefault="009075C4" w:rsidP="009075C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075C4" w:rsidRPr="00236F1C" w:rsidRDefault="00A24E17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75C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Sub5 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10F4A">
        <w:rPr>
          <w:rFonts w:ascii="Times New Roman" w:hAnsi="Times New Roman" w:cs="Times New Roman"/>
          <w:sz w:val="24"/>
          <w:szCs w:val="24"/>
        </w:rPr>
        <w:t>outstanding</w:t>
      </w:r>
      <w:r w:rsidR="009075C4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4A" w:rsidRPr="00610F4A" w:rsidRDefault="00A24E17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75C4" w:rsidRPr="00610F4A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Sub5 </w:t>
      </w:r>
      <w:r w:rsidR="009075C4" w:rsidRPr="00610F4A">
        <w:rPr>
          <w:rFonts w:ascii="Times New Roman" w:hAnsi="Times New Roman" w:cs="Times New Roman"/>
          <w:sz w:val="24"/>
          <w:szCs w:val="24"/>
        </w:rPr>
        <w:t xml:space="preserve">as </w:t>
      </w:r>
      <w:r w:rsidR="00610F4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075C4" w:rsidRPr="00610F4A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4A">
        <w:rPr>
          <w:rFonts w:ascii="Times New Roman" w:hAnsi="Times New Roman" w:cs="Times New Roman"/>
          <w:sz w:val="24"/>
          <w:szCs w:val="24"/>
        </w:rPr>
        <w:t>6</w:t>
      </w:r>
      <w:r w:rsidR="00A24E17">
        <w:rPr>
          <w:rFonts w:ascii="Times New Roman" w:hAnsi="Times New Roman" w:cs="Times New Roman"/>
          <w:sz w:val="24"/>
          <w:szCs w:val="24"/>
        </w:rPr>
        <w:t>0</w:t>
      </w:r>
      <w:r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Sub5 </w:t>
      </w:r>
      <w:r w:rsidRPr="00610F4A">
        <w:rPr>
          <w:rFonts w:ascii="Times New Roman" w:hAnsi="Times New Roman" w:cs="Times New Roman"/>
          <w:sz w:val="24"/>
          <w:szCs w:val="24"/>
        </w:rPr>
        <w:t>as good</w:t>
      </w:r>
    </w:p>
    <w:p w:rsidR="009075C4" w:rsidRPr="00F21617" w:rsidRDefault="009075C4" w:rsidP="00907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F3B95">
        <w:rPr>
          <w:rFonts w:ascii="Times New Roman" w:hAnsi="Times New Roman" w:cs="Times New Roman"/>
          <w:sz w:val="24"/>
          <w:szCs w:val="24"/>
        </w:rPr>
        <w:t xml:space="preserve">Overall  </w:t>
      </w:r>
      <w:r w:rsidR="006751C3">
        <w:rPr>
          <w:rFonts w:ascii="Times New Roman" w:hAnsi="Times New Roman" w:cs="Times New Roman"/>
          <w:sz w:val="24"/>
          <w:szCs w:val="24"/>
        </w:rPr>
        <w:t xml:space="preserve">Sub5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075C4" w:rsidRDefault="009075C4" w:rsidP="009075C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C4" w:rsidRDefault="009075C4" w:rsidP="009075C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1769D" w:rsidRDefault="0031769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C417D0" w:rsidRPr="002F6BDD" w:rsidRDefault="00C417D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C417D0" w:rsidTr="00A21A05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417D0" w:rsidRDefault="00C417D0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417D0" w:rsidRDefault="00C417D0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417D0" w:rsidRDefault="00C417D0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1A7865" w:rsidTr="005B1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65" w:rsidRDefault="001A7865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</w:tr>
      <w:tr w:rsidR="001A7865" w:rsidTr="005B1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65" w:rsidRDefault="001A7865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25</w:t>
            </w:r>
          </w:p>
        </w:tc>
      </w:tr>
      <w:tr w:rsidR="001A7865" w:rsidTr="005B1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65" w:rsidRDefault="001A7865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63</w:t>
            </w:r>
          </w:p>
        </w:tc>
      </w:tr>
      <w:tr w:rsidR="001A7865" w:rsidTr="005B1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65" w:rsidRDefault="001A7865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13</w:t>
            </w:r>
          </w:p>
        </w:tc>
      </w:tr>
      <w:tr w:rsidR="001A7865" w:rsidTr="005B1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65" w:rsidRDefault="001A7865" w:rsidP="00A21A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65" w:rsidRDefault="001A7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EA" w:rsidRDefault="0031769D" w:rsidP="00317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6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8EA" w:rsidRDefault="001578E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B5F" w:rsidRDefault="00924B5F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6751C3" w:rsidRDefault="004455FE" w:rsidP="006751C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751C3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4455FE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4455FE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4455FE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2F6BDD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95" w:rsidRDefault="005F3B9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B567BB" w:rsidRPr="009F10F5" w:rsidTr="00E3411C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BB" w:rsidRPr="009F10F5" w:rsidRDefault="00B567BB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17</w:t>
            </w:r>
          </w:p>
        </w:tc>
      </w:tr>
      <w:tr w:rsidR="00B567BB" w:rsidRPr="009F10F5" w:rsidTr="00E3411C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BB" w:rsidRPr="009F10F5" w:rsidRDefault="00B567BB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B56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</w:tr>
      <w:tr w:rsidR="00B567BB" w:rsidRPr="009F10F5" w:rsidTr="00E3411C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BB" w:rsidRPr="009F10F5" w:rsidRDefault="00B567BB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33</w:t>
            </w:r>
          </w:p>
        </w:tc>
      </w:tr>
      <w:tr w:rsidR="00B567BB" w:rsidRPr="009F10F5" w:rsidTr="00E3411C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BB" w:rsidRPr="009F10F5" w:rsidRDefault="00B567BB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B56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</w:tr>
      <w:tr w:rsidR="00B567BB" w:rsidRPr="009F10F5" w:rsidTr="00E3411C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BB" w:rsidRPr="009F10F5" w:rsidRDefault="00B567BB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5F3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BB" w:rsidRDefault="00B56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mr-IN"/>
              </w:rPr>
            </w:pPr>
            <w:r>
              <w:rPr>
                <w:rFonts w:ascii="Calibri" w:hAnsi="Calibri" w:cs="Calibri"/>
                <w:color w:val="000000"/>
                <w:lang w:bidi="mr-IN"/>
              </w:rPr>
              <w:t>0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5F2853" w:rsidRDefault="005F2853" w:rsidP="0033095A">
      <w:pPr>
        <w:rPr>
          <w:rFonts w:ascii="Times New Roman" w:hAnsi="Times New Roman" w:cs="Times New Roman"/>
          <w:sz w:val="24"/>
          <w:szCs w:val="24"/>
        </w:rPr>
      </w:pPr>
    </w:p>
    <w:p w:rsidR="005F2853" w:rsidRDefault="005F2853" w:rsidP="0033095A">
      <w:pPr>
        <w:rPr>
          <w:rFonts w:ascii="Times New Roman" w:hAnsi="Times New Roman" w:cs="Times New Roman"/>
          <w:sz w:val="24"/>
          <w:szCs w:val="24"/>
        </w:rPr>
      </w:pPr>
    </w:p>
    <w:p w:rsidR="005F2853" w:rsidRDefault="005F2853" w:rsidP="0033095A">
      <w:pPr>
        <w:rPr>
          <w:rFonts w:ascii="Times New Roman" w:hAnsi="Times New Roman" w:cs="Times New Roman"/>
          <w:sz w:val="24"/>
          <w:szCs w:val="24"/>
        </w:rPr>
      </w:pPr>
      <w:r w:rsidRPr="005F2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853" w:rsidRPr="000962BF" w:rsidRDefault="005F2853" w:rsidP="00CE4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A20C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83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A20C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A20C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A20C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A20C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100 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55FE"/>
    <w:rsid w:val="00062130"/>
    <w:rsid w:val="00076D43"/>
    <w:rsid w:val="000929BF"/>
    <w:rsid w:val="000C322E"/>
    <w:rsid w:val="000C4933"/>
    <w:rsid w:val="000C6516"/>
    <w:rsid w:val="000E2D42"/>
    <w:rsid w:val="000F17F7"/>
    <w:rsid w:val="001332D5"/>
    <w:rsid w:val="00143AE5"/>
    <w:rsid w:val="001578EA"/>
    <w:rsid w:val="00170A15"/>
    <w:rsid w:val="00176203"/>
    <w:rsid w:val="00186FED"/>
    <w:rsid w:val="001A2DA3"/>
    <w:rsid w:val="001A7865"/>
    <w:rsid w:val="001C2BFD"/>
    <w:rsid w:val="001C5025"/>
    <w:rsid w:val="001F0194"/>
    <w:rsid w:val="002030FC"/>
    <w:rsid w:val="00203AC7"/>
    <w:rsid w:val="0023588D"/>
    <w:rsid w:val="00254934"/>
    <w:rsid w:val="00282929"/>
    <w:rsid w:val="00291682"/>
    <w:rsid w:val="002C1D27"/>
    <w:rsid w:val="002F6BDD"/>
    <w:rsid w:val="003168AF"/>
    <w:rsid w:val="0031769D"/>
    <w:rsid w:val="003209CA"/>
    <w:rsid w:val="0033095A"/>
    <w:rsid w:val="003338AE"/>
    <w:rsid w:val="00355624"/>
    <w:rsid w:val="00396CF2"/>
    <w:rsid w:val="003E704F"/>
    <w:rsid w:val="004455FE"/>
    <w:rsid w:val="00496D52"/>
    <w:rsid w:val="004C29A0"/>
    <w:rsid w:val="004D4E80"/>
    <w:rsid w:val="00503997"/>
    <w:rsid w:val="00585F84"/>
    <w:rsid w:val="00591CB4"/>
    <w:rsid w:val="005F2853"/>
    <w:rsid w:val="005F2858"/>
    <w:rsid w:val="005F3B95"/>
    <w:rsid w:val="005F6A02"/>
    <w:rsid w:val="00610F4A"/>
    <w:rsid w:val="006751C3"/>
    <w:rsid w:val="007165AA"/>
    <w:rsid w:val="007B6CBD"/>
    <w:rsid w:val="00831BA5"/>
    <w:rsid w:val="00873F82"/>
    <w:rsid w:val="008F193C"/>
    <w:rsid w:val="008F51BA"/>
    <w:rsid w:val="009004C2"/>
    <w:rsid w:val="009075C4"/>
    <w:rsid w:val="00924B5F"/>
    <w:rsid w:val="00935B7C"/>
    <w:rsid w:val="009678D9"/>
    <w:rsid w:val="009F10F5"/>
    <w:rsid w:val="009F6E8A"/>
    <w:rsid w:val="00A20C3C"/>
    <w:rsid w:val="00A21A05"/>
    <w:rsid w:val="00A24E17"/>
    <w:rsid w:val="00AA3250"/>
    <w:rsid w:val="00AC3B3A"/>
    <w:rsid w:val="00AE09EB"/>
    <w:rsid w:val="00AE34D3"/>
    <w:rsid w:val="00B070AC"/>
    <w:rsid w:val="00B22462"/>
    <w:rsid w:val="00B43394"/>
    <w:rsid w:val="00B567BB"/>
    <w:rsid w:val="00B62622"/>
    <w:rsid w:val="00BA70BF"/>
    <w:rsid w:val="00BF60F8"/>
    <w:rsid w:val="00BF6FA5"/>
    <w:rsid w:val="00C032A1"/>
    <w:rsid w:val="00C12CBA"/>
    <w:rsid w:val="00C4003B"/>
    <w:rsid w:val="00C417D0"/>
    <w:rsid w:val="00C41F8E"/>
    <w:rsid w:val="00CA2440"/>
    <w:rsid w:val="00CB2D90"/>
    <w:rsid w:val="00CB719A"/>
    <w:rsid w:val="00CD2415"/>
    <w:rsid w:val="00CE4FFF"/>
    <w:rsid w:val="00CF4EA1"/>
    <w:rsid w:val="00D10101"/>
    <w:rsid w:val="00D309B4"/>
    <w:rsid w:val="00D41AF1"/>
    <w:rsid w:val="00D61FD2"/>
    <w:rsid w:val="00D702A7"/>
    <w:rsid w:val="00D72A32"/>
    <w:rsid w:val="00E34B79"/>
    <w:rsid w:val="00EA7865"/>
    <w:rsid w:val="00EC479C"/>
    <w:rsid w:val="00EF4CE6"/>
    <w:rsid w:val="00F15871"/>
    <w:rsid w:val="00F21617"/>
    <w:rsid w:val="00F51018"/>
    <w:rsid w:val="00F75E81"/>
    <w:rsid w:val="00F85571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Urdu%20ma%20ii%20year%20iv%20sem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80350300211172E-2"/>
          <c:y val="0.21592454630856064"/>
          <c:w val="0.88495603674540724"/>
          <c:h val="0.566857039509197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Sheet1!$A$88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Sheet1!$B$87:$F$87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Sheet1!$B$88:$F$88</c:f>
              <c:numCache>
                <c:formatCode>0</c:formatCode>
                <c:ptCount val="5"/>
                <c:pt idx="0">
                  <c:v>5.8823529411764675</c:v>
                </c:pt>
                <c:pt idx="1">
                  <c:v>9.8039215686274517</c:v>
                </c:pt>
                <c:pt idx="2">
                  <c:v>9.8039215686274517</c:v>
                </c:pt>
                <c:pt idx="3">
                  <c:v>7.8431372549019605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Sheet1!$A$89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Sheet1!$B$87:$F$87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Sheet1!$B$89:$F$89</c:f>
              <c:numCache>
                <c:formatCode>0</c:formatCode>
                <c:ptCount val="5"/>
                <c:pt idx="0">
                  <c:v>52.941176470588225</c:v>
                </c:pt>
                <c:pt idx="1">
                  <c:v>50.980392156862742</c:v>
                </c:pt>
                <c:pt idx="2">
                  <c:v>49.019607843137244</c:v>
                </c:pt>
                <c:pt idx="3">
                  <c:v>47.058823529411754</c:v>
                </c:pt>
                <c:pt idx="4">
                  <c:v>58.139534883720962</c:v>
                </c:pt>
              </c:numCache>
            </c:numRef>
          </c:val>
        </c:ser>
        <c:ser>
          <c:idx val="2"/>
          <c:order val="2"/>
          <c:tx>
            <c:strRef>
              <c:f>Sheet1!$A$90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Sheet1!$B$87:$F$87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Sheet1!$B$90:$F$90</c:f>
              <c:numCache>
                <c:formatCode>0</c:formatCode>
                <c:ptCount val="5"/>
                <c:pt idx="0">
                  <c:v>41.17647058823529</c:v>
                </c:pt>
                <c:pt idx="1">
                  <c:v>39.215686274509913</c:v>
                </c:pt>
                <c:pt idx="2">
                  <c:v>41.17647058823529</c:v>
                </c:pt>
                <c:pt idx="3">
                  <c:v>45.098039215686278</c:v>
                </c:pt>
                <c:pt idx="4">
                  <c:v>41.860465116279073</c:v>
                </c:pt>
              </c:numCache>
            </c:numRef>
          </c:val>
        </c:ser>
        <c:ser>
          <c:idx val="3"/>
          <c:order val="3"/>
          <c:tx>
            <c:strRef>
              <c:f>Sheet1!$A$91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Sheet1!$B$87:$F$87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Sheet1!$B$91:$F$91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5994752"/>
        <c:axId val="215996288"/>
        <c:axId val="0"/>
      </c:bar3DChart>
      <c:catAx>
        <c:axId val="215994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996288"/>
        <c:crosses val="autoZero"/>
        <c:auto val="1"/>
        <c:lblAlgn val="ctr"/>
        <c:lblOffset val="100"/>
        <c:noMultiLvlLbl val="0"/>
      </c:catAx>
      <c:valAx>
        <c:axId val="21599628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994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Sheet1!$H$92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Sheet1!$I$91:$M$91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Sheet1!$I$92:$M$92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">
                  <c:v>1.4084507042253522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Sheet1!$H$93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Sheet1!$I$91:$M$91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Sheet1!$I$93:$M$93</c:f>
              <c:numCache>
                <c:formatCode>0</c:formatCode>
                <c:ptCount val="5"/>
                <c:pt idx="0">
                  <c:v>59.154929577464657</c:v>
                </c:pt>
                <c:pt idx="1">
                  <c:v>47.887323943661954</c:v>
                </c:pt>
                <c:pt idx="2">
                  <c:v>60.563380281690094</c:v>
                </c:pt>
                <c:pt idx="3">
                  <c:v>64.788732394365894</c:v>
                </c:pt>
                <c:pt idx="4">
                  <c:v>63.333333333333329</c:v>
                </c:pt>
              </c:numCache>
            </c:numRef>
          </c:val>
        </c:ser>
        <c:ser>
          <c:idx val="2"/>
          <c:order val="2"/>
          <c:tx>
            <c:strRef>
              <c:f>Sheet1!$H$94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Sheet1!$I$91:$M$91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Sheet1!$I$94:$M$94</c:f>
              <c:numCache>
                <c:formatCode>0</c:formatCode>
                <c:ptCount val="5"/>
                <c:pt idx="0">
                  <c:v>23.943661971830931</c:v>
                </c:pt>
                <c:pt idx="1">
                  <c:v>35.211267605633587</c:v>
                </c:pt>
                <c:pt idx="2">
                  <c:v>21.12676056338028</c:v>
                </c:pt>
                <c:pt idx="3">
                  <c:v>18.30985915492959</c:v>
                </c:pt>
                <c:pt idx="4">
                  <c:v>16.666666666666664</c:v>
                </c:pt>
              </c:numCache>
            </c:numRef>
          </c:val>
        </c:ser>
        <c:ser>
          <c:idx val="3"/>
          <c:order val="3"/>
          <c:tx>
            <c:strRef>
              <c:f>Sheet1!$H$95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Sheet1!$I$91:$M$91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Sheet1!$I$95:$M$95</c:f>
              <c:numCache>
                <c:formatCode>0</c:formatCode>
                <c:ptCount val="5"/>
                <c:pt idx="0">
                  <c:v>16.901408450704224</c:v>
                </c:pt>
                <c:pt idx="1">
                  <c:v>16.901408450704224</c:v>
                </c:pt>
                <c:pt idx="2">
                  <c:v>16.901408450704224</c:v>
                </c:pt>
                <c:pt idx="3">
                  <c:v>16.901408450704224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6287488"/>
        <c:axId val="216297472"/>
        <c:axId val="0"/>
      </c:bar3DChart>
      <c:catAx>
        <c:axId val="216287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297472"/>
        <c:crosses val="autoZero"/>
        <c:auto val="1"/>
        <c:lblAlgn val="ctr"/>
        <c:lblOffset val="100"/>
        <c:noMultiLvlLbl val="0"/>
      </c:catAx>
      <c:valAx>
        <c:axId val="216297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2874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Sheet1!$O$86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Sheet1!$P$85:$T$85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Sheet1!$P$86:$T$86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Sheet1!$O$87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Sheet1!$P$85:$T$85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Sheet1!$P$87:$T$87</c:f>
              <c:numCache>
                <c:formatCode>General</c:formatCode>
                <c:ptCount val="5"/>
                <c:pt idx="0">
                  <c:v>76</c:v>
                </c:pt>
                <c:pt idx="1">
                  <c:v>72</c:v>
                </c:pt>
                <c:pt idx="2">
                  <c:v>56.000000000000007</c:v>
                </c:pt>
                <c:pt idx="3">
                  <c:v>64</c:v>
                </c:pt>
                <c:pt idx="4" formatCode="0">
                  <c:v>66.666666666666657</c:v>
                </c:pt>
              </c:numCache>
            </c:numRef>
          </c:val>
        </c:ser>
        <c:ser>
          <c:idx val="2"/>
          <c:order val="2"/>
          <c:tx>
            <c:strRef>
              <c:f>Sheet1!$O$88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Sheet1!$P$85:$T$85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Sheet1!$P$88:$T$88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28.000000000000004</c:v>
                </c:pt>
                <c:pt idx="3">
                  <c:v>20</c:v>
                </c:pt>
                <c:pt idx="4" formatCode="0">
                  <c:v>14.285714285714286</c:v>
                </c:pt>
              </c:numCache>
            </c:numRef>
          </c:val>
        </c:ser>
        <c:ser>
          <c:idx val="3"/>
          <c:order val="3"/>
          <c:tx>
            <c:strRef>
              <c:f>Sheet1!$O$89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Sheet1!$P$85:$T$85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Sheet1!$P$89:$T$89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 formatCode="0">
                  <c:v>19.047619047619026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6465792"/>
        <c:axId val="216467328"/>
        <c:axId val="0"/>
      </c:bar3DChart>
      <c:catAx>
        <c:axId val="216465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467328"/>
        <c:crosses val="autoZero"/>
        <c:auto val="1"/>
        <c:lblAlgn val="ctr"/>
        <c:lblOffset val="100"/>
        <c:noMultiLvlLbl val="0"/>
      </c:catAx>
      <c:valAx>
        <c:axId val="21646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4657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Sheet1!$V$86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Sheet1!$W$85:$AA$85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Sheet1!$W$86:$AA$86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Sheet1!$V$87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Sheet1!$W$85:$AA$85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Sheet1!$W$87:$AA$87</c:f>
              <c:numCache>
                <c:formatCode>0</c:formatCode>
                <c:ptCount val="5"/>
                <c:pt idx="0">
                  <c:v>44.444444444444258</c:v>
                </c:pt>
                <c:pt idx="1">
                  <c:v>61.111111111111114</c:v>
                </c:pt>
                <c:pt idx="2">
                  <c:v>44.444444444444258</c:v>
                </c:pt>
                <c:pt idx="3">
                  <c:v>61.111111111111114</c:v>
                </c:pt>
                <c:pt idx="4" formatCode="General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Sheet1!$V$88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Sheet1!$W$85:$AA$85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Sheet1!$W$88:$AA$88</c:f>
              <c:numCache>
                <c:formatCode>0</c:formatCode>
                <c:ptCount val="5"/>
                <c:pt idx="0">
                  <c:v>38.888888888888893</c:v>
                </c:pt>
                <c:pt idx="1">
                  <c:v>22.22222222222214</c:v>
                </c:pt>
                <c:pt idx="2">
                  <c:v>38.888888888888893</c:v>
                </c:pt>
                <c:pt idx="3">
                  <c:v>22.22222222222214</c:v>
                </c:pt>
                <c:pt idx="4" formatCode="General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Sheet1!$V$89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Sheet1!$W$85:$AA$85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Sheet1!$W$89:$AA$89</c:f>
              <c:numCache>
                <c:formatCode>0</c:formatCode>
                <c:ptCount val="5"/>
                <c:pt idx="0">
                  <c:v>16.666666666666664</c:v>
                </c:pt>
                <c:pt idx="1">
                  <c:v>16.666666666666664</c:v>
                </c:pt>
                <c:pt idx="2">
                  <c:v>16.666666666666664</c:v>
                </c:pt>
                <c:pt idx="3">
                  <c:v>16.666666666666664</c:v>
                </c:pt>
                <c:pt idx="4" formatCode="General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6508288"/>
        <c:axId val="216509824"/>
        <c:axId val="0"/>
      </c:bar3DChart>
      <c:catAx>
        <c:axId val="216508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509824"/>
        <c:crosses val="autoZero"/>
        <c:auto val="1"/>
        <c:lblAlgn val="ctr"/>
        <c:lblOffset val="100"/>
        <c:noMultiLvlLbl val="0"/>
      </c:catAx>
      <c:valAx>
        <c:axId val="21650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65082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Sheet1!$AD$115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Sheet1!$AC$116:$AC$119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Sheet1!$AD$116:$AD$119</c:f>
              <c:numCache>
                <c:formatCode>0</c:formatCode>
                <c:ptCount val="4"/>
                <c:pt idx="0" formatCode="General">
                  <c:v>0</c:v>
                </c:pt>
                <c:pt idx="1">
                  <c:v>25</c:v>
                </c:pt>
                <c:pt idx="2">
                  <c:v>62.5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3329024"/>
        <c:axId val="233330560"/>
        <c:axId val="0"/>
      </c:bar3DChart>
      <c:catAx>
        <c:axId val="233329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3330560"/>
        <c:crosses val="autoZero"/>
        <c:auto val="1"/>
        <c:lblAlgn val="ctr"/>
        <c:lblOffset val="100"/>
        <c:noMultiLvlLbl val="0"/>
      </c:catAx>
      <c:valAx>
        <c:axId val="23333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33290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Sheet1!$AJ$100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Sheet1!$AI$101:$AI$105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Sheet1!$AJ$101:$AJ$105</c:f>
              <c:numCache>
                <c:formatCode>General</c:formatCode>
                <c:ptCount val="5"/>
                <c:pt idx="0" formatCode="0">
                  <c:v>83.333333333333258</c:v>
                </c:pt>
                <c:pt idx="1">
                  <c:v>100</c:v>
                </c:pt>
                <c:pt idx="2" formatCode="0">
                  <c:v>66.666666666666657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Sheet1!$AK$100</c:f>
              <c:strCache>
                <c:ptCount val="1"/>
                <c:pt idx="0">
                  <c:v>No(%)</c:v>
                </c:pt>
              </c:strCache>
            </c:strRef>
          </c:tx>
          <c:invertIfNegative val="0"/>
          <c:cat>
            <c:strRef>
              <c:f>Sheet1!$AI$101:$AI$105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Sheet1!$AK$101:$AK$105</c:f>
              <c:numCache>
                <c:formatCode>General</c:formatCode>
                <c:ptCount val="5"/>
                <c:pt idx="0" formatCode="0">
                  <c:v>16.666666666666664</c:v>
                </c:pt>
                <c:pt idx="1">
                  <c:v>0</c:v>
                </c:pt>
                <c:pt idx="2" formatCode="0">
                  <c:v>33.333333333333329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3357312"/>
        <c:axId val="233358848"/>
        <c:axId val="0"/>
      </c:bar3DChart>
      <c:catAx>
        <c:axId val="2333573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3358848"/>
        <c:crosses val="autoZero"/>
        <c:auto val="1"/>
        <c:lblAlgn val="ctr"/>
        <c:lblOffset val="100"/>
        <c:noMultiLvlLbl val="0"/>
      </c:catAx>
      <c:valAx>
        <c:axId val="2333588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3357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0.16875</cdr:x>
      <cdr:y>0.00694</cdr:y>
    </cdr:from>
    <cdr:to>
      <cdr:x>0.88125</cdr:x>
      <cdr:y>0.18056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71525" y="19051"/>
          <a:ext cx="3257549" cy="47624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2018-06-06T00:34:00Z</dcterms:created>
  <dcterms:modified xsi:type="dcterms:W3CDTF">2018-10-16T13:10:00Z</dcterms:modified>
</cp:coreProperties>
</file>