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>Semester-</w:t>
      </w:r>
      <w:r w:rsidR="00FE7012">
        <w:rPr>
          <w:rFonts w:ascii="Times New Roman" w:hAnsi="Times New Roman" w:cs="Times New Roman"/>
          <w:b/>
          <w:sz w:val="24"/>
          <w:szCs w:val="24"/>
        </w:rPr>
        <w:t>I,</w:t>
      </w:r>
      <w:r w:rsidR="00B92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8BC">
        <w:rPr>
          <w:rFonts w:ascii="Times New Roman" w:hAnsi="Times New Roman" w:cs="Times New Roman"/>
          <w:b/>
          <w:sz w:val="24"/>
          <w:szCs w:val="24"/>
        </w:rPr>
        <w:t>M.A.,</w:t>
      </w:r>
      <w:r w:rsidR="00B92FA1">
        <w:rPr>
          <w:rFonts w:ascii="Times New Roman" w:hAnsi="Times New Roman" w:cs="Times New Roman"/>
          <w:b/>
          <w:sz w:val="24"/>
          <w:szCs w:val="24"/>
        </w:rPr>
        <w:t xml:space="preserve"> Urdu</w:t>
      </w:r>
      <w:r w:rsidR="00FE70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58BC">
        <w:rPr>
          <w:rFonts w:ascii="Times New Roman" w:hAnsi="Times New Roman" w:cs="Times New Roman"/>
          <w:b/>
          <w:sz w:val="24"/>
          <w:szCs w:val="24"/>
        </w:rPr>
        <w:t>2017-</w:t>
      </w:r>
      <w:r w:rsidR="00FE7012">
        <w:rPr>
          <w:rFonts w:ascii="Times New Roman" w:hAnsi="Times New Roman" w:cs="Times New Roman"/>
          <w:b/>
          <w:sz w:val="24"/>
          <w:szCs w:val="24"/>
        </w:rPr>
        <w:t>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3095A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10560" w:type="dxa"/>
        <w:tblInd w:w="98" w:type="dxa"/>
        <w:tblLook w:val="04A0" w:firstRow="1" w:lastRow="0" w:firstColumn="1" w:lastColumn="0" w:noHBand="0" w:noVBand="1"/>
      </w:tblPr>
      <w:tblGrid>
        <w:gridCol w:w="979"/>
        <w:gridCol w:w="848"/>
        <w:gridCol w:w="1072"/>
        <w:gridCol w:w="848"/>
        <w:gridCol w:w="1072"/>
        <w:gridCol w:w="848"/>
        <w:gridCol w:w="1072"/>
        <w:gridCol w:w="848"/>
        <w:gridCol w:w="1072"/>
        <w:gridCol w:w="848"/>
        <w:gridCol w:w="1072"/>
      </w:tblGrid>
      <w:tr w:rsidR="000A58BC" w:rsidRPr="000A58BC" w:rsidTr="000A58BC">
        <w:trPr>
          <w:trHeight w:val="3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  <w:t>Grade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Sub1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Sub2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Sub3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Sub4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Sub5</w:t>
            </w:r>
          </w:p>
        </w:tc>
      </w:tr>
      <w:tr w:rsidR="000A58BC" w:rsidRPr="000A58BC" w:rsidTr="000A58BC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0A58BC" w:rsidRPr="000A58BC" w:rsidTr="000A58B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0A58BC" w:rsidRPr="000A58BC" w:rsidTr="000A58B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</w:tr>
      <w:tr w:rsidR="000A58BC" w:rsidRPr="000A58BC" w:rsidTr="000A58B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</w:tr>
      <w:tr w:rsidR="000A58BC" w:rsidRPr="000A58BC" w:rsidTr="000A58B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0A58BC" w:rsidRPr="000A58BC" w:rsidTr="000A58B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66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</w:tbl>
    <w:p w:rsidR="000A58BC" w:rsidRDefault="000A58BC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DA3" w:rsidRDefault="001F1E21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E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67994" cy="2000992"/>
            <wp:effectExtent l="19050" t="0" r="23256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58BC" w:rsidRPr="008B322A" w:rsidRDefault="003F4C3F" w:rsidP="000A58B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 xml:space="preserve">  Sub1</w:t>
      </w:r>
      <w:r w:rsidR="000A58BC">
        <w:rPr>
          <w:b/>
          <w:noProof/>
          <w:sz w:val="24"/>
          <w:szCs w:val="24"/>
          <w:lang w:val="en-IN" w:eastAsia="en-IN"/>
        </w:rPr>
        <w:t xml:space="preserve"> </w:t>
      </w:r>
      <w:bookmarkStart w:id="0" w:name="_GoBack"/>
      <w:r w:rsidR="007538AE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bookmarkEnd w:id="0"/>
    <w:p w:rsidR="00873F82" w:rsidRPr="00236F1C" w:rsidRDefault="006512AB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873F82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6512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6512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F4C3F">
        <w:rPr>
          <w:rFonts w:ascii="Times New Roman" w:hAnsi="Times New Roman" w:cs="Times New Roman"/>
          <w:sz w:val="24"/>
          <w:szCs w:val="24"/>
        </w:rPr>
        <w:t>Sub1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3F82" w:rsidRPr="00873F82" w:rsidRDefault="00A96EEA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Sub2</w:t>
      </w:r>
      <w:r w:rsidR="000A58BC">
        <w:rPr>
          <w:b/>
          <w:noProof/>
          <w:sz w:val="24"/>
          <w:szCs w:val="24"/>
          <w:lang w:val="en-IN" w:eastAsia="en-IN"/>
        </w:rPr>
        <w:t xml:space="preserve"> </w:t>
      </w:r>
      <w:r w:rsidR="007538AE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33095A" w:rsidRPr="00236F1C" w:rsidRDefault="006512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6512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A96EEA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6512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A96EEA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Sub2</w:t>
      </w:r>
      <w:r w:rsidR="00A96EEA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A96EEA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Sub3</w:t>
      </w:r>
      <w:r w:rsidR="000A58BC">
        <w:rPr>
          <w:b/>
          <w:noProof/>
          <w:sz w:val="24"/>
          <w:szCs w:val="24"/>
          <w:lang w:val="en-IN" w:eastAsia="en-IN"/>
        </w:rPr>
        <w:t xml:space="preserve"> </w:t>
      </w:r>
      <w:r w:rsidR="007538AE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33095A" w:rsidRPr="00236F1C" w:rsidRDefault="006512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6512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6512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3E53F5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96EEA">
        <w:rPr>
          <w:rFonts w:ascii="Times New Roman" w:hAnsi="Times New Roman" w:cs="Times New Roman"/>
          <w:sz w:val="24"/>
          <w:szCs w:val="24"/>
        </w:rPr>
        <w:t>Sub3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82" w:rsidRPr="00873F82" w:rsidRDefault="00A96EEA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Sub4</w:t>
      </w:r>
      <w:r w:rsidR="000A58BC">
        <w:rPr>
          <w:b/>
          <w:noProof/>
          <w:sz w:val="24"/>
          <w:szCs w:val="24"/>
          <w:lang w:val="en-IN" w:eastAsia="en-IN"/>
        </w:rPr>
        <w:t xml:space="preserve"> </w:t>
      </w:r>
      <w:r w:rsidR="007538AE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33095A" w:rsidRPr="00236F1C" w:rsidRDefault="006512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>Sub4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33095A" w:rsidRPr="00236F1C" w:rsidRDefault="006512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6512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873F8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076D43" w:rsidRPr="00076D43" w:rsidRDefault="0031705C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Sub5</w:t>
      </w:r>
      <w:r w:rsidR="000A58BC">
        <w:rPr>
          <w:b/>
          <w:noProof/>
          <w:sz w:val="24"/>
          <w:szCs w:val="24"/>
          <w:lang w:val="en-IN" w:eastAsia="en-IN"/>
        </w:rPr>
        <w:t xml:space="preserve"> </w:t>
      </w:r>
      <w:r w:rsidR="007538AE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33095A" w:rsidRPr="00236F1C" w:rsidRDefault="006512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Excellent </w:t>
      </w:r>
    </w:p>
    <w:p w:rsidR="0033095A" w:rsidRPr="00236F1C" w:rsidRDefault="006512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6512A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076D4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31705C">
        <w:rPr>
          <w:rFonts w:ascii="Times New Roman" w:hAnsi="Times New Roman" w:cs="Times New Roman"/>
          <w:sz w:val="24"/>
          <w:szCs w:val="24"/>
        </w:rPr>
        <w:t xml:space="preserve">Sub5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927691" w:rsidRDefault="00927691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636C35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</w:t>
      </w:r>
      <w:r w:rsidR="000929BF"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C35">
        <w:rPr>
          <w:rFonts w:ascii="Times New Roman" w:hAnsi="Times New Roman" w:cs="Times New Roman"/>
          <w:sz w:val="24"/>
          <w:szCs w:val="24"/>
        </w:rPr>
        <w:t>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lastRenderedPageBreak/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496D52" w:rsidRDefault="0033095A" w:rsidP="00E034E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6271CA" w:rsidRDefault="00496D52" w:rsidP="00E034E5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33095A">
        <w:rPr>
          <w:rFonts w:ascii="Times New Roman" w:hAnsi="Times New Roman" w:cs="Times New Roman"/>
          <w:sz w:val="24"/>
          <w:szCs w:val="24"/>
        </w:rPr>
        <w:t>2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10560" w:type="dxa"/>
        <w:tblInd w:w="99" w:type="dxa"/>
        <w:tblLook w:val="04A0" w:firstRow="1" w:lastRow="0" w:firstColumn="1" w:lastColumn="0" w:noHBand="0" w:noVBand="1"/>
      </w:tblPr>
      <w:tblGrid>
        <w:gridCol w:w="960"/>
        <w:gridCol w:w="847"/>
        <w:gridCol w:w="1073"/>
        <w:gridCol w:w="847"/>
        <w:gridCol w:w="1073"/>
        <w:gridCol w:w="847"/>
        <w:gridCol w:w="1073"/>
        <w:gridCol w:w="847"/>
        <w:gridCol w:w="1073"/>
        <w:gridCol w:w="847"/>
        <w:gridCol w:w="1073"/>
      </w:tblGrid>
      <w:tr w:rsidR="000A58BC" w:rsidRPr="000A58BC" w:rsidTr="000A58B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0A58BC" w:rsidRPr="000A58BC" w:rsidTr="000A58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0A58BC" w:rsidRPr="000A58BC" w:rsidTr="000A58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0A58BC" w:rsidRPr="000A58BC" w:rsidTr="000A58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49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</w:tr>
      <w:tr w:rsidR="000A58BC" w:rsidRPr="000A58BC" w:rsidTr="000A58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</w:tr>
      <w:tr w:rsidR="000A58BC" w:rsidRPr="000A58BC" w:rsidTr="000A58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0A58BC" w:rsidRPr="000A58BC" w:rsidTr="000A58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</w:tbl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6271CA" w:rsidP="00E034E5">
      <w:pPr>
        <w:spacing w:after="0"/>
        <w:jc w:val="center"/>
        <w:rPr>
          <w:b/>
          <w:noProof/>
          <w:sz w:val="24"/>
          <w:szCs w:val="24"/>
          <w:lang w:val="en-IN" w:eastAsia="en-IN"/>
        </w:rPr>
      </w:pPr>
      <w:r w:rsidRPr="006271CA">
        <w:rPr>
          <w:b/>
          <w:noProof/>
          <w:sz w:val="24"/>
          <w:szCs w:val="24"/>
        </w:rPr>
        <w:drawing>
          <wp:inline distT="0" distB="0" distL="0" distR="0">
            <wp:extent cx="5930487" cy="2066307"/>
            <wp:effectExtent l="19050" t="0" r="13113" b="0"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929BF" w:rsidRDefault="000929BF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6271CA" w:rsidRPr="000A58BC" w:rsidRDefault="00316DB4" w:rsidP="006271CA">
      <w:pPr>
        <w:autoSpaceDE w:val="0"/>
        <w:autoSpaceDN w:val="0"/>
        <w:adjustRightInd w:val="0"/>
        <w:spacing w:after="0" w:line="240" w:lineRule="auto"/>
        <w:rPr>
          <w:b/>
          <w:noProof/>
          <w:color w:val="FF0000"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  </w:t>
      </w:r>
      <w:r w:rsidR="000A58BC" w:rsidRPr="000A58BC">
        <w:rPr>
          <w:b/>
          <w:noProof/>
          <w:color w:val="FF0000"/>
          <w:sz w:val="24"/>
          <w:szCs w:val="24"/>
          <w:lang w:val="en-IN" w:eastAsia="en-IN"/>
        </w:rPr>
        <w:t xml:space="preserve">Please write name of Teacher of sub </w:t>
      </w:r>
      <w:r w:rsidR="006271CA" w:rsidRPr="000A58BC">
        <w:rPr>
          <w:b/>
          <w:noProof/>
          <w:color w:val="FF0000"/>
          <w:sz w:val="24"/>
          <w:szCs w:val="24"/>
          <w:lang w:val="en-IN" w:eastAsia="en-IN"/>
        </w:rPr>
        <w:t>1</w:t>
      </w:r>
    </w:p>
    <w:p w:rsidR="0033095A" w:rsidRPr="00ED115A" w:rsidRDefault="0052363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>rated performance of</w:t>
      </w:r>
      <w:r>
        <w:rPr>
          <w:b/>
          <w:noProof/>
          <w:sz w:val="24"/>
          <w:szCs w:val="24"/>
          <w:lang w:val="en-IN" w:eastAsia="en-IN"/>
        </w:rPr>
        <w:t xml:space="preserve">   </w:t>
      </w:r>
      <w:r w:rsidR="000A58BC">
        <w:rPr>
          <w:bCs/>
          <w:noProof/>
          <w:sz w:val="24"/>
          <w:szCs w:val="24"/>
          <w:lang w:val="en-IN" w:eastAsia="en-IN"/>
        </w:rPr>
        <w:t xml:space="preserve">Teacher of sub </w:t>
      </w:r>
      <w:r w:rsidRPr="00ED115A">
        <w:rPr>
          <w:bCs/>
          <w:noProof/>
          <w:sz w:val="24"/>
          <w:szCs w:val="24"/>
          <w:lang w:val="en-IN" w:eastAsia="en-IN"/>
        </w:rPr>
        <w:t xml:space="preserve">1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>as outstanding</w:t>
      </w:r>
    </w:p>
    <w:p w:rsidR="00BA70BF" w:rsidRPr="00ED115A" w:rsidRDefault="0052363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15A">
        <w:rPr>
          <w:rFonts w:ascii="Times New Roman" w:hAnsi="Times New Roman" w:cs="Times New Roman"/>
          <w:bCs/>
          <w:sz w:val="24"/>
          <w:szCs w:val="24"/>
        </w:rPr>
        <w:t xml:space="preserve">56%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>of the students have rate</w:t>
      </w:r>
      <w:r w:rsidR="00282929" w:rsidRPr="00ED115A">
        <w:rPr>
          <w:rFonts w:ascii="Times New Roman" w:hAnsi="Times New Roman" w:cs="Times New Roman"/>
          <w:bCs/>
          <w:sz w:val="24"/>
          <w:szCs w:val="24"/>
        </w:rPr>
        <w:t xml:space="preserve">d performance of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115A">
        <w:rPr>
          <w:bCs/>
          <w:noProof/>
          <w:sz w:val="24"/>
          <w:szCs w:val="24"/>
          <w:lang w:val="en-IN" w:eastAsia="en-IN"/>
        </w:rPr>
        <w:t xml:space="preserve">   </w:t>
      </w:r>
      <w:r w:rsidR="000A58BC">
        <w:rPr>
          <w:bCs/>
          <w:noProof/>
          <w:sz w:val="24"/>
          <w:szCs w:val="24"/>
          <w:lang w:val="en-IN" w:eastAsia="en-IN"/>
        </w:rPr>
        <w:t xml:space="preserve">Teacher of sub </w:t>
      </w:r>
      <w:r w:rsidRPr="00ED115A">
        <w:rPr>
          <w:bCs/>
          <w:noProof/>
          <w:sz w:val="24"/>
          <w:szCs w:val="24"/>
          <w:lang w:val="en-IN" w:eastAsia="en-IN"/>
        </w:rPr>
        <w:t xml:space="preserve">1 </w:t>
      </w:r>
      <w:r w:rsidR="00BA70BF" w:rsidRPr="00ED115A">
        <w:rPr>
          <w:rFonts w:ascii="Times New Roman" w:hAnsi="Times New Roman" w:cs="Times New Roman"/>
          <w:bCs/>
          <w:sz w:val="24"/>
          <w:szCs w:val="24"/>
        </w:rPr>
        <w:t xml:space="preserve"> as Excellent</w:t>
      </w:r>
    </w:p>
    <w:p w:rsidR="0033095A" w:rsidRPr="00ED115A" w:rsidRDefault="0052363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15A">
        <w:rPr>
          <w:rFonts w:ascii="Times New Roman" w:hAnsi="Times New Roman" w:cs="Times New Roman"/>
          <w:bCs/>
          <w:sz w:val="24"/>
          <w:szCs w:val="24"/>
        </w:rPr>
        <w:t xml:space="preserve">44%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of the students have rated performance of  </w:t>
      </w:r>
      <w:r w:rsidRPr="00ED115A">
        <w:rPr>
          <w:bCs/>
          <w:noProof/>
          <w:sz w:val="24"/>
          <w:szCs w:val="24"/>
          <w:lang w:val="en-IN" w:eastAsia="en-IN"/>
        </w:rPr>
        <w:t xml:space="preserve">   </w:t>
      </w:r>
      <w:r w:rsidR="000A58BC">
        <w:rPr>
          <w:bCs/>
          <w:noProof/>
          <w:sz w:val="24"/>
          <w:szCs w:val="24"/>
          <w:lang w:val="en-IN" w:eastAsia="en-IN"/>
        </w:rPr>
        <w:t xml:space="preserve">Teacher of sub </w:t>
      </w:r>
      <w:r w:rsidRPr="00ED115A">
        <w:rPr>
          <w:bCs/>
          <w:noProof/>
          <w:sz w:val="24"/>
          <w:szCs w:val="24"/>
          <w:lang w:val="en-IN" w:eastAsia="en-IN"/>
        </w:rPr>
        <w:t xml:space="preserve">1 </w:t>
      </w:r>
      <w:r w:rsidR="00ED11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as good</w:t>
      </w:r>
    </w:p>
    <w:p w:rsidR="0033095A" w:rsidRPr="00D549BA" w:rsidRDefault="0028292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115A">
        <w:rPr>
          <w:rFonts w:ascii="Times New Roman" w:hAnsi="Times New Roman" w:cs="Times New Roman"/>
          <w:bCs/>
          <w:sz w:val="24"/>
          <w:szCs w:val="24"/>
        </w:rPr>
        <w:t>None</w:t>
      </w:r>
      <w:r w:rsidR="0033095A" w:rsidRPr="00ED115A">
        <w:rPr>
          <w:rFonts w:ascii="Times New Roman" w:hAnsi="Times New Roman" w:cs="Times New Roman"/>
          <w:bCs/>
          <w:sz w:val="24"/>
          <w:szCs w:val="24"/>
        </w:rPr>
        <w:t xml:space="preserve"> of the students have rated performance of</w:t>
      </w:r>
      <w:r w:rsidR="00523633" w:rsidRPr="00ED115A">
        <w:rPr>
          <w:bCs/>
          <w:noProof/>
          <w:sz w:val="24"/>
          <w:szCs w:val="24"/>
          <w:lang w:val="en-IN" w:eastAsia="en-IN"/>
        </w:rPr>
        <w:t xml:space="preserve">   </w:t>
      </w:r>
      <w:r w:rsidR="000A58BC">
        <w:rPr>
          <w:bCs/>
          <w:noProof/>
          <w:sz w:val="24"/>
          <w:szCs w:val="24"/>
          <w:lang w:val="en-IN" w:eastAsia="en-IN"/>
        </w:rPr>
        <w:t xml:space="preserve">Teacher of sub </w:t>
      </w:r>
      <w:r w:rsidR="00523633" w:rsidRPr="00ED115A">
        <w:rPr>
          <w:bCs/>
          <w:noProof/>
          <w:sz w:val="24"/>
          <w:szCs w:val="24"/>
          <w:lang w:val="en-IN" w:eastAsia="en-IN"/>
        </w:rPr>
        <w:t>1</w:t>
      </w:r>
      <w:r w:rsidR="00523633">
        <w:rPr>
          <w:b/>
          <w:noProof/>
          <w:sz w:val="24"/>
          <w:szCs w:val="24"/>
          <w:lang w:val="en-IN" w:eastAsia="en-IN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58BC" w:rsidRPr="000A58BC" w:rsidRDefault="000A58BC" w:rsidP="000A58BC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8BC">
        <w:rPr>
          <w:b/>
          <w:noProof/>
          <w:color w:val="FF0000"/>
          <w:sz w:val="24"/>
          <w:szCs w:val="24"/>
          <w:lang w:val="en-IN" w:eastAsia="en-IN"/>
        </w:rPr>
        <w:t xml:space="preserve">Please write name of Teacher of sub </w:t>
      </w:r>
      <w:r>
        <w:rPr>
          <w:b/>
          <w:noProof/>
          <w:color w:val="FF0000"/>
          <w:sz w:val="24"/>
          <w:szCs w:val="24"/>
          <w:lang w:val="en-IN" w:eastAsia="en-IN"/>
        </w:rPr>
        <w:t>2</w:t>
      </w:r>
    </w:p>
    <w:p w:rsidR="000A58BC" w:rsidRPr="000A58BC" w:rsidRDefault="000A58BC" w:rsidP="000A58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0C5E" w:rsidRPr="00BA70BF" w:rsidRDefault="00523633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C5E">
        <w:rPr>
          <w:rFonts w:ascii="Times New Roman" w:hAnsi="Times New Roman" w:cs="Times New Roman"/>
          <w:sz w:val="24"/>
          <w:szCs w:val="24"/>
        </w:rPr>
        <w:t>None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A58BC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A82E32">
        <w:rPr>
          <w:rFonts w:ascii="Times New Roman" w:hAnsi="Times New Roman" w:cs="Times New Roman"/>
          <w:sz w:val="24"/>
          <w:szCs w:val="24"/>
        </w:rPr>
        <w:t xml:space="preserve">2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00C5E" w:rsidRDefault="0052363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C5E">
        <w:rPr>
          <w:rFonts w:ascii="Times New Roman" w:hAnsi="Times New Roman" w:cs="Times New Roman"/>
          <w:sz w:val="24"/>
          <w:szCs w:val="24"/>
        </w:rPr>
        <w:t>51</w:t>
      </w:r>
      <w:r w:rsidR="0033095A" w:rsidRPr="00F00C5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A58BC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A82E32">
        <w:rPr>
          <w:rFonts w:ascii="Times New Roman" w:hAnsi="Times New Roman" w:cs="Times New Roman"/>
          <w:sz w:val="24"/>
          <w:szCs w:val="24"/>
        </w:rPr>
        <w:t xml:space="preserve">2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523633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282929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</w:t>
      </w:r>
      <w:r w:rsidR="000A58BC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A82E32">
        <w:rPr>
          <w:rFonts w:ascii="Times New Roman" w:hAnsi="Times New Roman" w:cs="Times New Roman"/>
          <w:sz w:val="24"/>
          <w:szCs w:val="24"/>
        </w:rPr>
        <w:t xml:space="preserve">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F00C5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A58BC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A82E32">
        <w:rPr>
          <w:rFonts w:ascii="Times New Roman" w:hAnsi="Times New Roman" w:cs="Times New Roman"/>
          <w:sz w:val="24"/>
          <w:szCs w:val="24"/>
        </w:rPr>
        <w:t xml:space="preserve">2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16DB4" w:rsidRPr="00316DB4" w:rsidRDefault="000A58BC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 w:rsidRPr="000A58BC">
        <w:rPr>
          <w:b/>
          <w:noProof/>
          <w:color w:val="FF0000"/>
          <w:sz w:val="24"/>
          <w:szCs w:val="24"/>
          <w:lang w:val="en-IN" w:eastAsia="en-IN"/>
        </w:rPr>
        <w:lastRenderedPageBreak/>
        <w:t xml:space="preserve">Please write name of Teacher of sub </w:t>
      </w:r>
      <w:r w:rsidR="00316DB4">
        <w:rPr>
          <w:b/>
          <w:noProof/>
          <w:sz w:val="24"/>
          <w:szCs w:val="24"/>
          <w:lang w:val="en-IN" w:eastAsia="en-IN"/>
        </w:rPr>
        <w:t>3</w:t>
      </w:r>
    </w:p>
    <w:p w:rsidR="00F00C5E" w:rsidRPr="00BA70BF" w:rsidRDefault="00523633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C5E">
        <w:rPr>
          <w:rFonts w:ascii="Times New Roman" w:hAnsi="Times New Roman" w:cs="Times New Roman"/>
          <w:sz w:val="24"/>
          <w:szCs w:val="24"/>
        </w:rPr>
        <w:t xml:space="preserve">None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0A58BC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A82E32">
        <w:rPr>
          <w:rFonts w:ascii="Times New Roman" w:hAnsi="Times New Roman" w:cs="Times New Roman"/>
          <w:sz w:val="24"/>
          <w:szCs w:val="24"/>
        </w:rPr>
        <w:t xml:space="preserve">3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282929" w:rsidRPr="00F00C5E" w:rsidRDefault="00523633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C5E">
        <w:rPr>
          <w:rFonts w:ascii="Times New Roman" w:hAnsi="Times New Roman" w:cs="Times New Roman"/>
          <w:sz w:val="24"/>
          <w:szCs w:val="24"/>
        </w:rPr>
        <w:t>57</w:t>
      </w:r>
      <w:r w:rsidR="00282929" w:rsidRPr="00F00C5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A58BC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A82E32">
        <w:rPr>
          <w:rFonts w:ascii="Times New Roman" w:hAnsi="Times New Roman" w:cs="Times New Roman"/>
          <w:sz w:val="24"/>
          <w:szCs w:val="24"/>
        </w:rPr>
        <w:t xml:space="preserve">3 </w:t>
      </w:r>
      <w:r w:rsidR="00282929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282929" w:rsidRPr="00D549BA" w:rsidRDefault="00A82E32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23633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A58BC">
        <w:rPr>
          <w:rFonts w:ascii="Times New Roman" w:hAnsi="Times New Roman" w:cs="Times New Roman"/>
          <w:sz w:val="24"/>
          <w:szCs w:val="24"/>
        </w:rPr>
        <w:t xml:space="preserve">Teacher of sub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82929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282929" w:rsidRPr="00D549BA" w:rsidRDefault="00282929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A58BC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A82E32">
        <w:rPr>
          <w:rFonts w:ascii="Times New Roman" w:hAnsi="Times New Roman" w:cs="Times New Roman"/>
          <w:sz w:val="24"/>
          <w:szCs w:val="24"/>
        </w:rPr>
        <w:t xml:space="preserve">3 </w:t>
      </w:r>
      <w:r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DB4" w:rsidRPr="00316DB4" w:rsidRDefault="000A58BC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 w:rsidRPr="000A58BC">
        <w:rPr>
          <w:b/>
          <w:noProof/>
          <w:color w:val="FF0000"/>
          <w:sz w:val="24"/>
          <w:szCs w:val="24"/>
          <w:lang w:val="en-IN" w:eastAsia="en-IN"/>
        </w:rPr>
        <w:t xml:space="preserve">Please write name of Teacher of sub </w:t>
      </w:r>
      <w:r w:rsidR="00316DB4">
        <w:rPr>
          <w:b/>
          <w:noProof/>
          <w:sz w:val="24"/>
          <w:szCs w:val="24"/>
          <w:lang w:val="en-IN" w:eastAsia="en-IN"/>
        </w:rPr>
        <w:t>4</w:t>
      </w:r>
    </w:p>
    <w:p w:rsidR="00F00C5E" w:rsidRPr="00D549BA" w:rsidRDefault="00A82E32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A58BC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247519">
        <w:rPr>
          <w:rFonts w:ascii="Times New Roman" w:hAnsi="Times New Roman" w:cs="Times New Roman"/>
          <w:sz w:val="24"/>
          <w:szCs w:val="24"/>
        </w:rPr>
        <w:t xml:space="preserve"> 4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F00C5E" w:rsidRDefault="00A82E32" w:rsidP="00F00C5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33095A" w:rsidRPr="00F00C5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A58BC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247519">
        <w:rPr>
          <w:rFonts w:ascii="Times New Roman" w:hAnsi="Times New Roman" w:cs="Times New Roman"/>
          <w:sz w:val="24"/>
          <w:szCs w:val="24"/>
        </w:rPr>
        <w:t xml:space="preserve"> 4 </w:t>
      </w:r>
      <w:r w:rsidR="0033095A" w:rsidRPr="00F00C5E">
        <w:rPr>
          <w:rFonts w:ascii="Times New Roman" w:hAnsi="Times New Roman" w:cs="Times New Roman"/>
          <w:sz w:val="24"/>
          <w:szCs w:val="24"/>
        </w:rPr>
        <w:t xml:space="preserve">as </w:t>
      </w:r>
      <w:r w:rsidR="00F00C5E"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D549BA" w:rsidRDefault="00A82E3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A58BC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247519">
        <w:rPr>
          <w:rFonts w:ascii="Times New Roman" w:hAnsi="Times New Roman" w:cs="Times New Roman"/>
          <w:sz w:val="24"/>
          <w:szCs w:val="24"/>
        </w:rPr>
        <w:t xml:space="preserve"> 4 </w:t>
      </w:r>
      <w:r w:rsidR="0033095A" w:rsidRPr="00D549BA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CA2440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A58BC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247519">
        <w:rPr>
          <w:rFonts w:ascii="Times New Roman" w:hAnsi="Times New Roman" w:cs="Times New Roman"/>
          <w:sz w:val="24"/>
          <w:szCs w:val="24"/>
        </w:rPr>
        <w:t xml:space="preserve"> 4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16DB4" w:rsidRPr="00316DB4" w:rsidRDefault="000A58BC" w:rsidP="00316DB4">
      <w:pPr>
        <w:autoSpaceDE w:val="0"/>
        <w:autoSpaceDN w:val="0"/>
        <w:adjustRightInd w:val="0"/>
        <w:spacing w:after="0" w:line="240" w:lineRule="auto"/>
        <w:ind w:left="284"/>
        <w:rPr>
          <w:b/>
          <w:noProof/>
          <w:sz w:val="24"/>
          <w:szCs w:val="24"/>
          <w:lang w:val="en-IN" w:eastAsia="en-IN"/>
        </w:rPr>
      </w:pPr>
      <w:r w:rsidRPr="000A58BC">
        <w:rPr>
          <w:b/>
          <w:noProof/>
          <w:color w:val="FF0000"/>
          <w:sz w:val="24"/>
          <w:szCs w:val="24"/>
          <w:lang w:val="en-IN" w:eastAsia="en-IN"/>
        </w:rPr>
        <w:t xml:space="preserve">Please write name of Teacher of sub </w:t>
      </w:r>
      <w:r w:rsidR="00316DB4">
        <w:rPr>
          <w:b/>
          <w:noProof/>
          <w:sz w:val="24"/>
          <w:szCs w:val="24"/>
          <w:lang w:val="en-IN" w:eastAsia="en-IN"/>
        </w:rPr>
        <w:t>5</w:t>
      </w:r>
    </w:p>
    <w:p w:rsidR="0033095A" w:rsidRPr="00A82E32" w:rsidRDefault="00A82E32" w:rsidP="00A82E3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A58BC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247519">
        <w:rPr>
          <w:rFonts w:ascii="Times New Roman" w:hAnsi="Times New Roman" w:cs="Times New Roman"/>
          <w:sz w:val="24"/>
          <w:szCs w:val="24"/>
        </w:rPr>
        <w:t xml:space="preserve"> 5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Pr="00D549BA">
        <w:rPr>
          <w:rFonts w:ascii="Times New Roman" w:hAnsi="Times New Roman" w:cs="Times New Roman"/>
          <w:sz w:val="24"/>
          <w:szCs w:val="24"/>
        </w:rPr>
        <w:t>outstanding</w:t>
      </w:r>
    </w:p>
    <w:p w:rsidR="00A82E32" w:rsidRPr="00F00C5E" w:rsidRDefault="00A82E32" w:rsidP="00A82E3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33095A" w:rsidRPr="00A82E32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0A58BC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247519">
        <w:rPr>
          <w:rFonts w:ascii="Times New Roman" w:hAnsi="Times New Roman" w:cs="Times New Roman"/>
          <w:sz w:val="24"/>
          <w:szCs w:val="24"/>
        </w:rPr>
        <w:t xml:space="preserve"> 5 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as </w:t>
      </w:r>
      <w:r w:rsidRPr="00F00C5E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A82E32" w:rsidRDefault="00A82E3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43% </w:t>
      </w:r>
      <w:r w:rsidR="00396CF2" w:rsidRPr="00A82E32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A82E32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0A58BC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247519">
        <w:rPr>
          <w:rFonts w:ascii="Times New Roman" w:hAnsi="Times New Roman" w:cs="Times New Roman"/>
          <w:sz w:val="24"/>
          <w:szCs w:val="24"/>
        </w:rPr>
        <w:t xml:space="preserve"> 5 </w:t>
      </w:r>
      <w:r w:rsidR="0033095A" w:rsidRPr="00A82E32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D549BA" w:rsidRDefault="00A82E32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D549BA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of the students have rated performance of  </w:t>
      </w:r>
      <w:r w:rsidR="000A58BC">
        <w:rPr>
          <w:rFonts w:ascii="Times New Roman" w:hAnsi="Times New Roman" w:cs="Times New Roman"/>
          <w:sz w:val="24"/>
          <w:szCs w:val="24"/>
        </w:rPr>
        <w:t xml:space="preserve">Teacher of sub </w:t>
      </w:r>
      <w:r w:rsidR="00247519">
        <w:rPr>
          <w:rFonts w:ascii="Times New Roman" w:hAnsi="Times New Roman" w:cs="Times New Roman"/>
          <w:sz w:val="24"/>
          <w:szCs w:val="24"/>
        </w:rPr>
        <w:t xml:space="preserve"> 5 </w:t>
      </w:r>
      <w:r w:rsidR="0033095A" w:rsidRPr="00D549BA">
        <w:rPr>
          <w:rFonts w:ascii="Times New Roman" w:hAnsi="Times New Roman" w:cs="Times New Roman"/>
          <w:sz w:val="24"/>
          <w:szCs w:val="24"/>
        </w:rPr>
        <w:t>as average</w:t>
      </w:r>
    </w:p>
    <w:p w:rsidR="004C3AB2" w:rsidRDefault="004C3AB2" w:rsidP="004C3AB2">
      <w:pPr>
        <w:tabs>
          <w:tab w:val="left" w:pos="7324"/>
        </w:tabs>
        <w:rPr>
          <w:b/>
          <w:noProof/>
          <w:sz w:val="24"/>
          <w:szCs w:val="24"/>
          <w:lang w:val="en-IN" w:eastAsia="en-IN"/>
        </w:rPr>
      </w:pPr>
    </w:p>
    <w:p w:rsidR="004C3AB2" w:rsidRDefault="004C3AB2" w:rsidP="004C3AB2">
      <w:pPr>
        <w:tabs>
          <w:tab w:val="left" w:pos="7324"/>
        </w:tabs>
        <w:rPr>
          <w:rFonts w:ascii="Times New Roman" w:hAnsi="Times New Roman" w:cs="Times New Roman"/>
          <w:b/>
          <w:sz w:val="24"/>
          <w:szCs w:val="24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AE09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E034E5" w:rsidRDefault="0033095A" w:rsidP="004C3A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0A58BC" w:rsidRDefault="000A58BC" w:rsidP="004C3A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58BC" w:rsidRPr="004C3AB2" w:rsidRDefault="000A58BC" w:rsidP="004C3AB2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lastRenderedPageBreak/>
        <w:t>Table 3: Subject wise Percentage of grades given by students for project/seminar/assignments</w:t>
      </w:r>
    </w:p>
    <w:tbl>
      <w:tblPr>
        <w:tblW w:w="10560" w:type="dxa"/>
        <w:tblInd w:w="98" w:type="dxa"/>
        <w:tblLook w:val="04A0" w:firstRow="1" w:lastRow="0" w:firstColumn="1" w:lastColumn="0" w:noHBand="0" w:noVBand="1"/>
      </w:tblPr>
      <w:tblGrid>
        <w:gridCol w:w="960"/>
        <w:gridCol w:w="848"/>
        <w:gridCol w:w="1072"/>
        <w:gridCol w:w="848"/>
        <w:gridCol w:w="1072"/>
        <w:gridCol w:w="848"/>
        <w:gridCol w:w="1072"/>
        <w:gridCol w:w="848"/>
        <w:gridCol w:w="1072"/>
        <w:gridCol w:w="848"/>
        <w:gridCol w:w="1072"/>
      </w:tblGrid>
      <w:tr w:rsidR="000A58BC" w:rsidRPr="000A58BC" w:rsidTr="000A58BC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Sub5</w:t>
            </w:r>
          </w:p>
        </w:tc>
      </w:tr>
      <w:tr w:rsidR="000A58BC" w:rsidRPr="000A58BC" w:rsidTr="000A58B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0A58BC" w:rsidRPr="000A58BC" w:rsidTr="000A58B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0A58BC" w:rsidRPr="000A58BC" w:rsidTr="000A58B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</w:tr>
      <w:tr w:rsidR="000A58BC" w:rsidRPr="000A58BC" w:rsidTr="000A58B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</w:tr>
      <w:tr w:rsidR="000A58BC" w:rsidRPr="000A58BC" w:rsidTr="000A58B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0A58BC" w:rsidRPr="000A58BC" w:rsidTr="000A58B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8BC" w:rsidRPr="000A58BC" w:rsidRDefault="000A58BC" w:rsidP="000A58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A58BC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</w:tbl>
    <w:p w:rsidR="001C2BFD" w:rsidRDefault="001C2BFD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7463D2" w:rsidRDefault="007463D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 w:rsidRPr="007463D2">
        <w:rPr>
          <w:b/>
          <w:noProof/>
          <w:sz w:val="24"/>
          <w:szCs w:val="24"/>
        </w:rPr>
        <w:drawing>
          <wp:inline distT="0" distB="0" distL="0" distR="0">
            <wp:extent cx="6506441" cy="1710046"/>
            <wp:effectExtent l="19050" t="0" r="27709" b="4454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0D65AC" w:rsidRPr="000D65AC" w:rsidRDefault="000D65AC" w:rsidP="000D65AC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    Sub1</w:t>
      </w:r>
    </w:p>
    <w:p w:rsidR="0033095A" w:rsidRPr="00236F1C" w:rsidRDefault="000D65A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1C2BFD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65AC">
        <w:rPr>
          <w:rFonts w:ascii="Times New Roman" w:hAnsi="Times New Roman" w:cs="Times New Roman"/>
          <w:sz w:val="24"/>
          <w:szCs w:val="24"/>
        </w:rPr>
        <w:t>9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>as</w:t>
      </w:r>
      <w:r w:rsidR="00CA5EE7" w:rsidRPr="00CA5EE7">
        <w:rPr>
          <w:rFonts w:ascii="Times New Roman" w:hAnsi="Times New Roman" w:cs="Times New Roman"/>
          <w:sz w:val="24"/>
          <w:szCs w:val="24"/>
        </w:rPr>
        <w:t xml:space="preserve"> </w:t>
      </w:r>
      <w:r w:rsidR="00CA5EE7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0D65A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8F51B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0D65AC" w:rsidRPr="00C21EE9">
        <w:rPr>
          <w:bCs/>
          <w:noProof/>
          <w:sz w:val="24"/>
          <w:szCs w:val="24"/>
          <w:lang w:val="en-IN" w:eastAsia="en-IN"/>
        </w:rPr>
        <w:t xml:space="preserve">Sub1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0D65AC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Sub2</w:t>
      </w:r>
    </w:p>
    <w:p w:rsidR="0033095A" w:rsidRPr="00236F1C" w:rsidRDefault="000D65A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236F1C" w:rsidRDefault="008F51B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3095A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0D65AC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CA5EE7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236F1C" w:rsidRDefault="000D65AC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8F51B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A5EE7">
        <w:rPr>
          <w:rFonts w:ascii="Times New Roman" w:hAnsi="Times New Roman" w:cs="Times New Roman"/>
          <w:sz w:val="24"/>
          <w:szCs w:val="24"/>
        </w:rPr>
        <w:t xml:space="preserve">Sub2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A5EE7" w:rsidRPr="00CA5EE7" w:rsidRDefault="00CA5EE7" w:rsidP="00CA5EE7">
      <w:pPr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5EE7">
        <w:rPr>
          <w:b/>
          <w:noProof/>
          <w:sz w:val="24"/>
          <w:szCs w:val="24"/>
          <w:lang w:val="en-IN" w:eastAsia="en-IN"/>
        </w:rPr>
        <w:t>Sub</w:t>
      </w:r>
      <w:r>
        <w:rPr>
          <w:b/>
          <w:noProof/>
          <w:sz w:val="24"/>
          <w:szCs w:val="24"/>
          <w:lang w:val="en-IN" w:eastAsia="en-IN"/>
        </w:rPr>
        <w:t>3</w:t>
      </w:r>
    </w:p>
    <w:p w:rsidR="00920DCE" w:rsidRPr="00236F1C" w:rsidRDefault="00CA5EE7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CE">
        <w:rPr>
          <w:rFonts w:ascii="Times New Roman" w:hAnsi="Times New Roman" w:cs="Times New Roman"/>
          <w:sz w:val="24"/>
          <w:szCs w:val="24"/>
        </w:rPr>
        <w:t xml:space="preserve">None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Pr="00920DCE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CA5EE7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CE">
        <w:rPr>
          <w:rFonts w:ascii="Times New Roman" w:hAnsi="Times New Roman" w:cs="Times New Roman"/>
          <w:sz w:val="24"/>
          <w:szCs w:val="24"/>
        </w:rPr>
        <w:t>69</w:t>
      </w:r>
      <w:r w:rsidR="0033095A" w:rsidRPr="00920DC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Pr="00920DCE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="00920DCE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920DCE" w:rsidRDefault="00CA5E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CE">
        <w:rPr>
          <w:rFonts w:ascii="Times New Roman" w:hAnsi="Times New Roman" w:cs="Times New Roman"/>
          <w:sz w:val="24"/>
          <w:szCs w:val="24"/>
        </w:rPr>
        <w:t xml:space="preserve">31%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of the students have rated Project/seminar/assignments of </w:t>
      </w:r>
      <w:r w:rsidRPr="00920DCE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920DCE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3E53F5" w:rsidRDefault="00B433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CA5EE7">
        <w:rPr>
          <w:rFonts w:ascii="Times New Roman" w:hAnsi="Times New Roman" w:cs="Times New Roman"/>
          <w:sz w:val="24"/>
          <w:szCs w:val="24"/>
        </w:rPr>
        <w:t xml:space="preserve">Sub3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8BC" w:rsidRDefault="000A58BC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Pr="00B15C6F" w:rsidRDefault="00920DCE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Sub4</w:t>
      </w:r>
    </w:p>
    <w:p w:rsidR="0033095A" w:rsidRPr="00236F1C" w:rsidRDefault="00CA5EE7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20DCE"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920DCE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CE">
        <w:rPr>
          <w:rFonts w:ascii="Times New Roman" w:hAnsi="Times New Roman" w:cs="Times New Roman"/>
          <w:sz w:val="24"/>
          <w:szCs w:val="24"/>
        </w:rPr>
        <w:t>5</w:t>
      </w:r>
      <w:r w:rsidR="00B43394" w:rsidRPr="00920DCE">
        <w:rPr>
          <w:rFonts w:ascii="Times New Roman" w:hAnsi="Times New Roman" w:cs="Times New Roman"/>
          <w:sz w:val="24"/>
          <w:szCs w:val="24"/>
        </w:rPr>
        <w:t>2%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P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as </w:t>
      </w:r>
      <w:r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Pr="00920DCE" w:rsidRDefault="00920DC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CE">
        <w:rPr>
          <w:rFonts w:ascii="Times New Roman" w:hAnsi="Times New Roman" w:cs="Times New Roman"/>
          <w:sz w:val="24"/>
          <w:szCs w:val="24"/>
        </w:rPr>
        <w:t xml:space="preserve">48% </w:t>
      </w:r>
      <w:r w:rsidR="0033095A" w:rsidRPr="00920DCE">
        <w:rPr>
          <w:rFonts w:ascii="Times New Roman" w:hAnsi="Times New Roman" w:cs="Times New Roman"/>
          <w:sz w:val="24"/>
          <w:szCs w:val="24"/>
        </w:rPr>
        <w:t xml:space="preserve"> of the students have rated Project/seminar/assignments of </w:t>
      </w:r>
      <w:r w:rsidRP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920DCE">
        <w:rPr>
          <w:rFonts w:ascii="Times New Roman" w:hAnsi="Times New Roman" w:cs="Times New Roman"/>
          <w:sz w:val="24"/>
          <w:szCs w:val="24"/>
        </w:rPr>
        <w:t>as good</w:t>
      </w:r>
    </w:p>
    <w:p w:rsidR="0033095A" w:rsidRPr="00920DCE" w:rsidRDefault="00B43394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920DCE">
        <w:rPr>
          <w:rFonts w:ascii="Times New Roman" w:hAnsi="Times New Roman" w:cs="Times New Roman"/>
          <w:sz w:val="24"/>
          <w:szCs w:val="24"/>
        </w:rPr>
        <w:t xml:space="preserve">Sub4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920DCE" w:rsidRPr="00920DCE" w:rsidRDefault="00920DCE" w:rsidP="00920DCE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DCE" w:rsidRPr="00B15C6F" w:rsidRDefault="00920DCE" w:rsidP="00920DC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920DCE" w:rsidRPr="00236F1C" w:rsidRDefault="00920DCE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outstanding</w:t>
      </w:r>
    </w:p>
    <w:p w:rsidR="00920DCE" w:rsidRPr="00236F1C" w:rsidRDefault="00920DCE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DCE">
        <w:rPr>
          <w:rFonts w:ascii="Times New Roman" w:hAnsi="Times New Roman" w:cs="Times New Roman"/>
          <w:sz w:val="24"/>
          <w:szCs w:val="24"/>
        </w:rPr>
        <w:t xml:space="preserve">% of the students have rated 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Pr="00920DCE">
        <w:rPr>
          <w:rFonts w:ascii="Times New Roman" w:hAnsi="Times New Roman" w:cs="Times New Roman"/>
          <w:sz w:val="24"/>
          <w:szCs w:val="24"/>
        </w:rPr>
        <w:t xml:space="preserve"> as </w:t>
      </w:r>
      <w:r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920DCE" w:rsidRPr="00920DCE" w:rsidRDefault="00920DCE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920DCE">
        <w:rPr>
          <w:rFonts w:ascii="Times New Roman" w:hAnsi="Times New Roman" w:cs="Times New Roman"/>
          <w:sz w:val="24"/>
          <w:szCs w:val="24"/>
        </w:rPr>
        <w:t xml:space="preserve">%  of the students have rated 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 w:rsidRPr="00920DCE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920DCE" w:rsidRPr="00236F1C" w:rsidRDefault="00920DCE" w:rsidP="00920DC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>
        <w:rPr>
          <w:rFonts w:ascii="Times New Roman" w:hAnsi="Times New Roman" w:cs="Times New Roman"/>
          <w:sz w:val="24"/>
          <w:szCs w:val="24"/>
        </w:rPr>
        <w:t xml:space="preserve">Project/seminar/assignments of </w:t>
      </w:r>
      <w:r w:rsidR="00653CFE">
        <w:rPr>
          <w:rFonts w:ascii="Times New Roman" w:hAnsi="Times New Roman" w:cs="Times New Roman"/>
          <w:sz w:val="24"/>
          <w:szCs w:val="24"/>
        </w:rPr>
        <w:t>Sub5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average</w:t>
      </w:r>
    </w:p>
    <w:p w:rsidR="00E034E5" w:rsidRDefault="00E034E5" w:rsidP="00330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FA7" w:rsidRDefault="00D84FA7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about</w:t>
      </w:r>
      <w:proofErr w:type="gramEnd"/>
      <w:r w:rsidRPr="00636C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criterion VI, VII, VIII, IX and X</w:t>
      </w:r>
    </w:p>
    <w:p w:rsidR="0033095A" w:rsidRPr="00636C35" w:rsidRDefault="0033095A" w:rsidP="00330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</w:t>
      </w:r>
      <w:r w:rsidRPr="00082DDE">
        <w:rPr>
          <w:rFonts w:ascii="Times New Roman" w:hAnsi="Times New Roman" w:cs="Times New Roman"/>
          <w:sz w:val="24"/>
          <w:szCs w:val="24"/>
        </w:rPr>
        <w:t>VI, VII, VIII, IX and X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636C35">
        <w:rPr>
          <w:rFonts w:ascii="Times New Roman" w:hAnsi="Times New Roman" w:cs="Times New Roman"/>
          <w:sz w:val="24"/>
          <w:szCs w:val="24"/>
        </w:rPr>
        <w:t xml:space="preserve">students have </w:t>
      </w:r>
      <w:r>
        <w:rPr>
          <w:rFonts w:ascii="Times New Roman" w:hAnsi="Times New Roman" w:cs="Times New Roman"/>
          <w:sz w:val="24"/>
          <w:szCs w:val="24"/>
        </w:rPr>
        <w:t>to give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</w:t>
      </w:r>
      <w:r>
        <w:rPr>
          <w:rFonts w:ascii="Times New Roman" w:hAnsi="Times New Roman" w:cs="Times New Roman"/>
          <w:sz w:val="24"/>
          <w:szCs w:val="24"/>
        </w:rPr>
        <w:t xml:space="preserve">as yes or no of single question  </w:t>
      </w: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feedback is summarized in the following table:</w:t>
      </w:r>
    </w:p>
    <w:tbl>
      <w:tblPr>
        <w:tblW w:w="2880" w:type="dxa"/>
        <w:jc w:val="center"/>
        <w:tblInd w:w="98" w:type="dxa"/>
        <w:tblLook w:val="04A0" w:firstRow="1" w:lastRow="0" w:firstColumn="1" w:lastColumn="0" w:noHBand="0" w:noVBand="1"/>
      </w:tblPr>
      <w:tblGrid>
        <w:gridCol w:w="1136"/>
        <w:gridCol w:w="960"/>
        <w:gridCol w:w="960"/>
      </w:tblGrid>
      <w:tr w:rsidR="004A0DC8" w:rsidRPr="004A0DC8" w:rsidTr="004A0DC8">
        <w:trPr>
          <w:trHeight w:val="645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A0DC8" w:rsidRPr="004A0DC8" w:rsidRDefault="004A0DC8" w:rsidP="004A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A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Feedback about Criterion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A0DC8" w:rsidRPr="004A0DC8" w:rsidRDefault="004A0DC8" w:rsidP="004A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A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Freq. Of 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A0DC8" w:rsidRPr="004A0DC8" w:rsidRDefault="004A0DC8" w:rsidP="004A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A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Freq. Of No</w:t>
            </w:r>
          </w:p>
        </w:tc>
      </w:tr>
      <w:tr w:rsidR="004A0DC8" w:rsidRPr="004A0DC8" w:rsidTr="004A0DC8">
        <w:trPr>
          <w:trHeight w:val="330"/>
          <w:jc w:val="center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0DC8" w:rsidRPr="004A0DC8" w:rsidRDefault="004A0DC8" w:rsidP="004A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A0DC8" w:rsidRPr="004A0DC8" w:rsidRDefault="004A0DC8" w:rsidP="004A0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4A0DC8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4A0DC8" w:rsidRPr="004A0DC8" w:rsidRDefault="004A0DC8" w:rsidP="004A0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4A0DC8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4A0DC8" w:rsidRPr="004A0DC8" w:rsidTr="004A0DC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C8" w:rsidRPr="004A0DC8" w:rsidRDefault="004A0DC8" w:rsidP="004A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A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C8" w:rsidRPr="004A0DC8" w:rsidRDefault="004A0DC8" w:rsidP="004A0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4A0DC8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C8" w:rsidRPr="004A0DC8" w:rsidRDefault="004A0DC8" w:rsidP="004A0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4A0DC8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4A0DC8" w:rsidRPr="004A0DC8" w:rsidTr="004A0DC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C8" w:rsidRPr="004A0DC8" w:rsidRDefault="004A0DC8" w:rsidP="004A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A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C8" w:rsidRPr="004A0DC8" w:rsidRDefault="004A0DC8" w:rsidP="004A0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4A0DC8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C8" w:rsidRPr="004A0DC8" w:rsidRDefault="004A0DC8" w:rsidP="004A0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4A0DC8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4A0DC8" w:rsidRPr="004A0DC8" w:rsidTr="004A0DC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C8" w:rsidRPr="004A0DC8" w:rsidRDefault="004A0DC8" w:rsidP="004A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A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C8" w:rsidRPr="004A0DC8" w:rsidRDefault="004A0DC8" w:rsidP="004A0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4A0DC8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C8" w:rsidRPr="004A0DC8" w:rsidRDefault="004A0DC8" w:rsidP="004A0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4A0DC8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4A0DC8" w:rsidRPr="004A0DC8" w:rsidTr="004A0DC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C8" w:rsidRPr="004A0DC8" w:rsidRDefault="004A0DC8" w:rsidP="004A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A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C8" w:rsidRPr="004A0DC8" w:rsidRDefault="004A0DC8" w:rsidP="004A0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4A0DC8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C8" w:rsidRPr="004A0DC8" w:rsidRDefault="004A0DC8" w:rsidP="004A0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4A0DC8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4A0DC8" w:rsidRPr="004A0DC8" w:rsidTr="004A0DC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C8" w:rsidRPr="004A0DC8" w:rsidRDefault="004A0DC8" w:rsidP="004A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A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C8" w:rsidRPr="004A0DC8" w:rsidRDefault="004A0DC8" w:rsidP="004A0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4A0DC8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C8" w:rsidRPr="004A0DC8" w:rsidRDefault="004A0DC8" w:rsidP="004A0D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4A0DC8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</w:tbl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10F5" w:rsidRDefault="009F10F5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Pr="000962BF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E359D5" w:rsidRDefault="00E359D5" w:rsidP="0033095A">
      <w:pPr>
        <w:rPr>
          <w:rFonts w:ascii="Times New Roman" w:hAnsi="Times New Roman" w:cs="Times New Roman"/>
          <w:sz w:val="24"/>
          <w:szCs w:val="24"/>
        </w:rPr>
      </w:pPr>
    </w:p>
    <w:p w:rsidR="00E359D5" w:rsidRDefault="00E359D5" w:rsidP="0033095A">
      <w:pPr>
        <w:rPr>
          <w:rFonts w:ascii="Times New Roman" w:hAnsi="Times New Roman" w:cs="Times New Roman"/>
          <w:sz w:val="24"/>
          <w:szCs w:val="24"/>
        </w:rPr>
      </w:pPr>
    </w:p>
    <w:p w:rsidR="00864A4F" w:rsidRDefault="00E261A9" w:rsidP="00C21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1A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095A" w:rsidRDefault="0015294E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100 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counseling by the teachers / experts for their personal or academic problem.</w:t>
      </w:r>
    </w:p>
    <w:p w:rsidR="0033095A" w:rsidRDefault="0015294E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100 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 classes in soft skill and personality development.</w:t>
      </w:r>
    </w:p>
    <w:p w:rsidR="0033095A" w:rsidRDefault="0015294E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86 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of the students </w:t>
      </w:r>
      <w:r w:rsidR="0033095A">
        <w:rPr>
          <w:rFonts w:ascii="Times New Roman" w:hAnsi="Times New Roman" w:cs="Times New Roman"/>
          <w:sz w:val="24"/>
          <w:szCs w:val="24"/>
        </w:rPr>
        <w:t>wish to have</w:t>
      </w:r>
      <w:r w:rsidR="00F51018">
        <w:rPr>
          <w:rFonts w:ascii="Times New Roman" w:hAnsi="Times New Roman" w:cs="Times New Roman"/>
          <w:sz w:val="24"/>
          <w:szCs w:val="24"/>
        </w:rPr>
        <w:t xml:space="preserve"> </w:t>
      </w:r>
      <w:r w:rsidR="0033095A">
        <w:rPr>
          <w:rFonts w:ascii="Times New Roman" w:hAnsi="Times New Roman" w:cs="Times New Roman"/>
          <w:sz w:val="24"/>
          <w:szCs w:val="24"/>
        </w:rPr>
        <w:t>more industrial/ field visits.</w:t>
      </w:r>
    </w:p>
    <w:p w:rsidR="0033095A" w:rsidRDefault="0015294E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86 </w:t>
      </w:r>
      <w:r w:rsidR="0033095A" w:rsidRPr="00CC182C">
        <w:rPr>
          <w:rFonts w:ascii="Times New Roman" w:hAnsi="Times New Roman" w:cs="Times New Roman"/>
          <w:sz w:val="24"/>
          <w:szCs w:val="24"/>
        </w:rPr>
        <w:t xml:space="preserve">% of the students </w:t>
      </w:r>
      <w:proofErr w:type="gramStart"/>
      <w:r w:rsidR="0033095A">
        <w:rPr>
          <w:rFonts w:ascii="Times New Roman" w:hAnsi="Times New Roman" w:cs="Times New Roman"/>
          <w:sz w:val="24"/>
          <w:szCs w:val="24"/>
        </w:rPr>
        <w:t>finds</w:t>
      </w:r>
      <w:proofErr w:type="gramEnd"/>
      <w:r w:rsidR="0033095A">
        <w:rPr>
          <w:rFonts w:ascii="Times New Roman" w:hAnsi="Times New Roman" w:cs="Times New Roman"/>
          <w:sz w:val="24"/>
          <w:szCs w:val="24"/>
        </w:rPr>
        <w:t xml:space="preserve"> a positive change in department activities in this semester.</w:t>
      </w:r>
    </w:p>
    <w:p w:rsidR="0033095A" w:rsidRPr="000910DE" w:rsidRDefault="0015294E" w:rsidP="0033095A">
      <w:pPr>
        <w:pStyle w:val="ListParagraph"/>
        <w:numPr>
          <w:ilvl w:val="0"/>
          <w:numId w:val="9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21EE9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95A" w:rsidRPr="000910DE">
        <w:rPr>
          <w:rFonts w:ascii="Times New Roman" w:hAnsi="Times New Roman" w:cs="Times New Roman"/>
          <w:sz w:val="24"/>
          <w:szCs w:val="24"/>
        </w:rPr>
        <w:t>% of the students of the students would like to be actively associated with alumni association</w:t>
      </w:r>
    </w:p>
    <w:p w:rsidR="00CF4EA1" w:rsidRDefault="00CF4EA1"/>
    <w:sectPr w:rsidR="00CF4EA1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85" w:rsidRDefault="00AB4185" w:rsidP="006D7142">
      <w:pPr>
        <w:spacing w:after="0" w:line="240" w:lineRule="auto"/>
      </w:pPr>
      <w:r>
        <w:separator/>
      </w:r>
    </w:p>
  </w:endnote>
  <w:endnote w:type="continuationSeparator" w:id="0">
    <w:p w:rsidR="00AB4185" w:rsidRDefault="00AB4185" w:rsidP="006D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85" w:rsidRDefault="00AB4185" w:rsidP="006D7142">
      <w:pPr>
        <w:spacing w:after="0" w:line="240" w:lineRule="auto"/>
      </w:pPr>
      <w:r>
        <w:separator/>
      </w:r>
    </w:p>
  </w:footnote>
  <w:footnote w:type="continuationSeparator" w:id="0">
    <w:p w:rsidR="00AB4185" w:rsidRDefault="00AB4185" w:rsidP="006D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95A"/>
    <w:rsid w:val="0002485D"/>
    <w:rsid w:val="000278B0"/>
    <w:rsid w:val="00042269"/>
    <w:rsid w:val="00076D43"/>
    <w:rsid w:val="0008394F"/>
    <w:rsid w:val="00090D97"/>
    <w:rsid w:val="000929BF"/>
    <w:rsid w:val="000A58BC"/>
    <w:rsid w:val="000C4933"/>
    <w:rsid w:val="000C6516"/>
    <w:rsid w:val="000D0DF7"/>
    <w:rsid w:val="000D65AC"/>
    <w:rsid w:val="000E2D42"/>
    <w:rsid w:val="001370CE"/>
    <w:rsid w:val="0015294E"/>
    <w:rsid w:val="00176203"/>
    <w:rsid w:val="001A2DA3"/>
    <w:rsid w:val="001B5435"/>
    <w:rsid w:val="001C2BFD"/>
    <w:rsid w:val="001F1E21"/>
    <w:rsid w:val="00203AC7"/>
    <w:rsid w:val="002223EA"/>
    <w:rsid w:val="00247519"/>
    <w:rsid w:val="00252E2E"/>
    <w:rsid w:val="00254934"/>
    <w:rsid w:val="00282929"/>
    <w:rsid w:val="002C3F91"/>
    <w:rsid w:val="002E4115"/>
    <w:rsid w:val="002F6BDD"/>
    <w:rsid w:val="00316DB4"/>
    <w:rsid w:val="0031705C"/>
    <w:rsid w:val="0033095A"/>
    <w:rsid w:val="00396CF2"/>
    <w:rsid w:val="003B3C67"/>
    <w:rsid w:val="003F4C3F"/>
    <w:rsid w:val="003F52EF"/>
    <w:rsid w:val="00482DCF"/>
    <w:rsid w:val="00496D52"/>
    <w:rsid w:val="004A0DC8"/>
    <w:rsid w:val="004C29A0"/>
    <w:rsid w:val="004C3AB2"/>
    <w:rsid w:val="00523633"/>
    <w:rsid w:val="005333D4"/>
    <w:rsid w:val="0055460E"/>
    <w:rsid w:val="005F0B97"/>
    <w:rsid w:val="006271CA"/>
    <w:rsid w:val="006512AB"/>
    <w:rsid w:val="00653CFE"/>
    <w:rsid w:val="006D7142"/>
    <w:rsid w:val="00715041"/>
    <w:rsid w:val="007463D2"/>
    <w:rsid w:val="007538AE"/>
    <w:rsid w:val="0077547A"/>
    <w:rsid w:val="007A0256"/>
    <w:rsid w:val="00864A4F"/>
    <w:rsid w:val="00873F82"/>
    <w:rsid w:val="00874040"/>
    <w:rsid w:val="008F193C"/>
    <w:rsid w:val="008F51BA"/>
    <w:rsid w:val="00920DCE"/>
    <w:rsid w:val="00927691"/>
    <w:rsid w:val="00975678"/>
    <w:rsid w:val="009F10F5"/>
    <w:rsid w:val="00A05588"/>
    <w:rsid w:val="00A65E00"/>
    <w:rsid w:val="00A82E32"/>
    <w:rsid w:val="00A96EEA"/>
    <w:rsid w:val="00AA01AE"/>
    <w:rsid w:val="00AA3250"/>
    <w:rsid w:val="00AB4185"/>
    <w:rsid w:val="00AE09EB"/>
    <w:rsid w:val="00B13146"/>
    <w:rsid w:val="00B43394"/>
    <w:rsid w:val="00B62622"/>
    <w:rsid w:val="00B92FA1"/>
    <w:rsid w:val="00BA70BF"/>
    <w:rsid w:val="00BB6300"/>
    <w:rsid w:val="00C032A1"/>
    <w:rsid w:val="00C12CBA"/>
    <w:rsid w:val="00C21EE9"/>
    <w:rsid w:val="00C41F8E"/>
    <w:rsid w:val="00CA2440"/>
    <w:rsid w:val="00CA5EE7"/>
    <w:rsid w:val="00CD78D1"/>
    <w:rsid w:val="00CF4EA1"/>
    <w:rsid w:val="00D10101"/>
    <w:rsid w:val="00D24996"/>
    <w:rsid w:val="00D61FD2"/>
    <w:rsid w:val="00D702A7"/>
    <w:rsid w:val="00D84FA7"/>
    <w:rsid w:val="00DB2753"/>
    <w:rsid w:val="00DE6029"/>
    <w:rsid w:val="00E034E5"/>
    <w:rsid w:val="00E261A9"/>
    <w:rsid w:val="00E27CA5"/>
    <w:rsid w:val="00E34B79"/>
    <w:rsid w:val="00E359D5"/>
    <w:rsid w:val="00E365EF"/>
    <w:rsid w:val="00ED115A"/>
    <w:rsid w:val="00ED3E75"/>
    <w:rsid w:val="00EF1022"/>
    <w:rsid w:val="00EF4CE6"/>
    <w:rsid w:val="00F00C5E"/>
    <w:rsid w:val="00F51018"/>
    <w:rsid w:val="00F77563"/>
    <w:rsid w:val="00FD2152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14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D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14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THINKCENTER\Desktop\Urdu%202018\MA%20%20I%20YEAR%20,URDU,II%20SEM,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Urdu%202018\MA%20%20I%20YEAR%20,URDU,II%20SEM,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Urdu%202018\MA%20%20I%20YEAR%20,URDU,II%20SEM,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HINKCENTER\Desktop\Urdu%202018\MA%20%20I%20YEAR%20,URDU,II%20SEM,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488407699037621E-2"/>
          <c:y val="0.16714129483814549"/>
          <c:w val="0.88495603674540724"/>
          <c:h val="0.570989355497229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Sheet1!$A$112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Sheet1!$B$111:$F$111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Sheet1!$B$112:$F$112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Sheet1!$A$113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Sheet1!$B$111:$F$111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Sheet1!$B$113:$F$113</c:f>
              <c:numCache>
                <c:formatCode>0</c:formatCode>
                <c:ptCount val="5"/>
                <c:pt idx="0">
                  <c:v>54.54545454545454</c:v>
                </c:pt>
                <c:pt idx="1">
                  <c:v>48.484848484848264</c:v>
                </c:pt>
                <c:pt idx="2">
                  <c:v>53.030303030303031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Sheet1!$A$114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Sheet1!$B$111:$F$111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Sheet1!$B$114:$F$114</c:f>
              <c:numCache>
                <c:formatCode>0</c:formatCode>
                <c:ptCount val="5"/>
                <c:pt idx="0">
                  <c:v>45.454545454545297</c:v>
                </c:pt>
                <c:pt idx="1">
                  <c:v>51.515151515151516</c:v>
                </c:pt>
                <c:pt idx="2">
                  <c:v>46.969696969696834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</c:ser>
        <c:ser>
          <c:idx val="3"/>
          <c:order val="3"/>
          <c:tx>
            <c:strRef>
              <c:f>Sheet1!$A$115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Sheet1!$B$111:$F$111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Sheet1!$B$115:$F$115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88121856"/>
        <c:axId val="188123392"/>
        <c:axId val="0"/>
      </c:bar3DChart>
      <c:catAx>
        <c:axId val="1881218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88123392"/>
        <c:crosses val="autoZero"/>
        <c:auto val="1"/>
        <c:lblAlgn val="ctr"/>
        <c:lblOffset val="100"/>
        <c:noMultiLvlLbl val="0"/>
      </c:catAx>
      <c:valAx>
        <c:axId val="188123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8812185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 algn="r">
        <a:defRPr sz="1200"/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Sheet1!$H$119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Sheet1!$I$118:$M$118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Sheet1!$I$119:$M$119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Sheet1!$H$120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Sheet1!$I$118:$M$118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Sheet1!$I$120:$M$120</c:f>
              <c:numCache>
                <c:formatCode>0</c:formatCode>
                <c:ptCount val="5"/>
                <c:pt idx="0">
                  <c:v>44.210526315789473</c:v>
                </c:pt>
                <c:pt idx="1">
                  <c:v>49.473684210526294</c:v>
                </c:pt>
                <c:pt idx="2">
                  <c:v>43.157894736841975</c:v>
                </c:pt>
                <c:pt idx="3">
                  <c:v>44.210526315789473</c:v>
                </c:pt>
                <c:pt idx="4">
                  <c:v>43.157894736841975</c:v>
                </c:pt>
              </c:numCache>
            </c:numRef>
          </c:val>
        </c:ser>
        <c:ser>
          <c:idx val="2"/>
          <c:order val="2"/>
          <c:tx>
            <c:strRef>
              <c:f>Sheet1!$H$121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Sheet1!$I$118:$M$118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Sheet1!$I$121:$M$121</c:f>
              <c:numCache>
                <c:formatCode>0</c:formatCode>
                <c:ptCount val="5"/>
                <c:pt idx="0">
                  <c:v>55.789473684210414</c:v>
                </c:pt>
                <c:pt idx="1">
                  <c:v>50.526315789473834</c:v>
                </c:pt>
                <c:pt idx="2">
                  <c:v>56.842105263157912</c:v>
                </c:pt>
                <c:pt idx="3">
                  <c:v>55.789473684210414</c:v>
                </c:pt>
                <c:pt idx="4">
                  <c:v>56.842105263157912</c:v>
                </c:pt>
              </c:numCache>
            </c:numRef>
          </c:val>
        </c:ser>
        <c:ser>
          <c:idx val="3"/>
          <c:order val="3"/>
          <c:tx>
            <c:strRef>
              <c:f>Sheet1!$H$122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Sheet1!$I$118:$M$118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Sheet1!$I$122:$M$122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08607872"/>
        <c:axId val="208617856"/>
        <c:axId val="0"/>
      </c:bar3DChart>
      <c:catAx>
        <c:axId val="2086078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8617856"/>
        <c:crosses val="autoZero"/>
        <c:auto val="1"/>
        <c:lblAlgn val="ctr"/>
        <c:lblOffset val="100"/>
        <c:noMultiLvlLbl val="0"/>
      </c:catAx>
      <c:valAx>
        <c:axId val="208617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86078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Sheet1!$O$113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Sheet1!$P$112:$T$112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Sheet1!$P$113:$T$113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Sheet1!$O$114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Sheet1!$P$112:$T$112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Sheet1!$P$114:$T$114</c:f>
              <c:numCache>
                <c:formatCode>0</c:formatCode>
                <c:ptCount val="5"/>
                <c:pt idx="0">
                  <c:v>40.625000000000092</c:v>
                </c:pt>
                <c:pt idx="1">
                  <c:v>50</c:v>
                </c:pt>
                <c:pt idx="2">
                  <c:v>31.25</c:v>
                </c:pt>
                <c:pt idx="3">
                  <c:v>48.387096774193388</c:v>
                </c:pt>
                <c:pt idx="4">
                  <c:v>45.161290322580662</c:v>
                </c:pt>
              </c:numCache>
            </c:numRef>
          </c:val>
        </c:ser>
        <c:ser>
          <c:idx val="2"/>
          <c:order val="2"/>
          <c:tx>
            <c:strRef>
              <c:f>Sheet1!$O$115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Sheet1!$P$112:$T$112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Sheet1!$P$115:$T$115</c:f>
              <c:numCache>
                <c:formatCode>0</c:formatCode>
                <c:ptCount val="5"/>
                <c:pt idx="0">
                  <c:v>59.375</c:v>
                </c:pt>
                <c:pt idx="1">
                  <c:v>50</c:v>
                </c:pt>
                <c:pt idx="2">
                  <c:v>68.75</c:v>
                </c:pt>
                <c:pt idx="3">
                  <c:v>51.612903225806448</c:v>
                </c:pt>
                <c:pt idx="4">
                  <c:v>54.838709677419345</c:v>
                </c:pt>
              </c:numCache>
            </c:numRef>
          </c:val>
        </c:ser>
        <c:ser>
          <c:idx val="3"/>
          <c:order val="3"/>
          <c:tx>
            <c:strRef>
              <c:f>Sheet1!$O$116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Sheet1!$P$112:$T$112</c:f>
              <c:strCache>
                <c:ptCount val="5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</c:strCache>
            </c:strRef>
          </c:cat>
          <c:val>
            <c:numRef>
              <c:f>Sheet1!$P$116:$T$116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08634624"/>
        <c:axId val="208636160"/>
        <c:axId val="0"/>
      </c:bar3DChart>
      <c:catAx>
        <c:axId val="2086346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8636160"/>
        <c:crosses val="autoZero"/>
        <c:auto val="1"/>
        <c:lblAlgn val="ctr"/>
        <c:lblOffset val="100"/>
        <c:noMultiLvlLbl val="0"/>
      </c:catAx>
      <c:valAx>
        <c:axId val="208636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86346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Sheet1!$AL$109</c:f>
              <c:strCache>
                <c:ptCount val="1"/>
                <c:pt idx="0">
                  <c:v>Yes (%)</c:v>
                </c:pt>
              </c:strCache>
            </c:strRef>
          </c:tx>
          <c:invertIfNegative val="0"/>
          <c:cat>
            <c:strRef>
              <c:f>Sheet1!$AK$110:$AK$114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Sheet1!$AL$110:$AL$114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 formatCode="0">
                  <c:v>85.714285714285722</c:v>
                </c:pt>
                <c:pt idx="3" formatCode="0">
                  <c:v>85.714285714285722</c:v>
                </c:pt>
                <c:pt idx="4" formatCode="0">
                  <c:v>85.714285714285722</c:v>
                </c:pt>
              </c:numCache>
            </c:numRef>
          </c:val>
        </c:ser>
        <c:ser>
          <c:idx val="1"/>
          <c:order val="1"/>
          <c:tx>
            <c:strRef>
              <c:f>Sheet1!$AM$109</c:f>
              <c:strCache>
                <c:ptCount val="1"/>
                <c:pt idx="0">
                  <c:v>No(%)</c:v>
                </c:pt>
              </c:strCache>
            </c:strRef>
          </c:tx>
          <c:invertIfNegative val="0"/>
          <c:cat>
            <c:strRef>
              <c:f>Sheet1!$AK$110:$AK$114</c:f>
              <c:strCache>
                <c:ptCount val="5"/>
                <c:pt idx="0">
                  <c:v>VI</c:v>
                </c:pt>
                <c:pt idx="1">
                  <c:v>VII</c:v>
                </c:pt>
                <c:pt idx="2">
                  <c:v>VIII</c:v>
                </c:pt>
                <c:pt idx="3">
                  <c:v>IX</c:v>
                </c:pt>
                <c:pt idx="4">
                  <c:v>X</c:v>
                </c:pt>
              </c:strCache>
            </c:strRef>
          </c:cat>
          <c:val>
            <c:numRef>
              <c:f>Sheet1!$AM$110:$AM$114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 formatCode="0">
                  <c:v>14.285714285714286</c:v>
                </c:pt>
                <c:pt idx="3" formatCode="0">
                  <c:v>14.285714285714286</c:v>
                </c:pt>
                <c:pt idx="4" formatCode="0">
                  <c:v>14.285714285714286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08658816"/>
        <c:axId val="208660352"/>
        <c:axId val="0"/>
      </c:bar3DChart>
      <c:catAx>
        <c:axId val="2086588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8660352"/>
        <c:crosses val="autoZero"/>
        <c:auto val="1"/>
        <c:lblAlgn val="ctr"/>
        <c:lblOffset val="100"/>
        <c:noMultiLvlLbl val="0"/>
      </c:catAx>
      <c:valAx>
        <c:axId val="208660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0865881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0.19149</cdr:x>
      <cdr:y>0</cdr:y>
    </cdr:from>
    <cdr:to>
      <cdr:x>0.87689</cdr:x>
      <cdr:y>0.13265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108001" y="0"/>
          <a:ext cx="3965944" cy="41467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C55E-83B1-45A8-A3C9-372F65BD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3</cp:revision>
  <dcterms:created xsi:type="dcterms:W3CDTF">2018-06-06T00:25:00Z</dcterms:created>
  <dcterms:modified xsi:type="dcterms:W3CDTF">2018-10-16T13:09:00Z</dcterms:modified>
</cp:coreProperties>
</file>