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41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Semester- I</w:t>
      </w:r>
      <w:r w:rsidR="00E42128">
        <w:rPr>
          <w:rFonts w:ascii="Times New Roman" w:hAnsi="Times New Roman" w:cs="Times New Roman"/>
          <w:b/>
          <w:sz w:val="24"/>
          <w:szCs w:val="24"/>
        </w:rPr>
        <w:t>II</w:t>
      </w:r>
      <w:r w:rsidR="0041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E2F42">
        <w:rPr>
          <w:rFonts w:ascii="Times New Roman" w:hAnsi="Times New Roman" w:cs="Times New Roman"/>
          <w:b/>
          <w:sz w:val="24"/>
          <w:szCs w:val="24"/>
        </w:rPr>
        <w:t>M.</w:t>
      </w:r>
      <w:r w:rsidR="00AB3335">
        <w:rPr>
          <w:rFonts w:ascii="Times New Roman" w:hAnsi="Times New Roman" w:cs="Times New Roman"/>
          <w:b/>
          <w:sz w:val="24"/>
          <w:szCs w:val="24"/>
        </w:rPr>
        <w:t>A.</w:t>
      </w:r>
      <w:r w:rsidR="00415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r w:rsidR="004152D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AB3335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AB3335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4152DF" w:rsidRDefault="00F80E45" w:rsidP="004152DF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="004152DF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4152DF" w:rsidRPr="004152DF">
        <w:rPr>
          <w:rFonts w:ascii="Times New Roman" w:hAnsi="Times New Roman" w:cs="Times New Roman"/>
          <w:b/>
          <w:sz w:val="24"/>
          <w:szCs w:val="24"/>
        </w:rPr>
        <w:t>course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4B4EF7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4B4EF7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036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022"/>
        <w:gridCol w:w="1022"/>
        <w:gridCol w:w="1022"/>
        <w:gridCol w:w="960"/>
      </w:tblGrid>
      <w:tr w:rsidR="00E42128" w:rsidRPr="002C078B" w:rsidTr="00E4212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E42128" w:rsidRPr="002C078B" w:rsidTr="00E4212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E42128" w:rsidRPr="002C078B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E42128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341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22F" w:rsidRDefault="00B45248" w:rsidP="004773B6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>:</w:t>
      </w:r>
    </w:p>
    <w:p w:rsidR="00B45248" w:rsidRPr="00236F1C" w:rsidRDefault="00E4212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4212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4212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E42128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722F" w:rsidRDefault="00B15C6F" w:rsidP="000C6E53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C6E53" w:rsidRPr="00C05147" w:rsidRDefault="00B15C6F" w:rsidP="000C6E53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>:</w:t>
      </w:r>
      <w:r w:rsidR="004B4EF7" w:rsidRPr="004B4EF7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A1722F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05147" w:rsidRDefault="00B15C6F" w:rsidP="000C6E53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A1722F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0B177B">
      <w:pPr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A1722F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E42128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A84032" w:rsidRDefault="00A84032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4EF7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Pr="00636C35">
        <w:rPr>
          <w:rFonts w:ascii="Times New Roman" w:hAnsi="Times New Roman" w:cs="Times New Roman"/>
          <w:b/>
          <w:sz w:val="24"/>
          <w:szCs w:val="24"/>
        </w:rPr>
        <w:t>feedback</w:t>
      </w:r>
      <w:r w:rsidR="004B4EF7">
        <w:rPr>
          <w:rFonts w:ascii="Times New Roman" w:hAnsi="Times New Roman" w:cs="Times New Roman"/>
          <w:b/>
          <w:sz w:val="24"/>
          <w:szCs w:val="24"/>
        </w:rPr>
        <w:t>s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126" w:type="dxa"/>
        <w:jc w:val="center"/>
        <w:tblLook w:val="04A0" w:firstRow="1" w:lastRow="0" w:firstColumn="1" w:lastColumn="0" w:noHBand="0" w:noVBand="1"/>
      </w:tblPr>
      <w:tblGrid>
        <w:gridCol w:w="960"/>
        <w:gridCol w:w="1140"/>
        <w:gridCol w:w="1022"/>
        <w:gridCol w:w="1022"/>
        <w:gridCol w:w="1022"/>
        <w:gridCol w:w="960"/>
      </w:tblGrid>
      <w:tr w:rsidR="00E42128" w:rsidRPr="00973C31" w:rsidTr="00E42128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4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42128" w:rsidRPr="00973C31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4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42128" w:rsidRPr="00973C31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4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42128" w:rsidRPr="00973C31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4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E42128" w:rsidRPr="00973C31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4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42128" w:rsidRPr="00973C31" w:rsidTr="00E42128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4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036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022"/>
        <w:gridCol w:w="1022"/>
        <w:gridCol w:w="1022"/>
        <w:gridCol w:w="960"/>
      </w:tblGrid>
      <w:tr w:rsidR="00E42128" w:rsidRPr="00973C31" w:rsidTr="0023708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E42128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42128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E42128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E42128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42128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E42128" w:rsidRDefault="00E42128" w:rsidP="00E421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E42128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436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B177B" w:rsidRPr="000B177B" w:rsidRDefault="000B177B" w:rsidP="000B177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A1722F">
        <w:rPr>
          <w:b/>
          <w:noProof/>
          <w:color w:val="FF0000"/>
          <w:sz w:val="24"/>
          <w:szCs w:val="24"/>
          <w:lang w:val="en-IN" w:eastAsia="en-IN"/>
        </w:rPr>
        <w:t xml:space="preserve">          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bookmarkStart w:id="0" w:name="_GoBack"/>
      <w:r w:rsidR="00A1722F">
        <w:rPr>
          <w:b/>
          <w:noProof/>
          <w:color w:val="FF0000"/>
          <w:sz w:val="24"/>
          <w:szCs w:val="24"/>
          <w:lang w:val="en-IN" w:eastAsia="en-IN"/>
        </w:rPr>
        <w:t xml:space="preserve">          </w:t>
      </w:r>
      <w:bookmarkEnd w:id="0"/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A1722F">
        <w:rPr>
          <w:b/>
          <w:noProof/>
          <w:color w:val="FF0000"/>
          <w:sz w:val="24"/>
          <w:szCs w:val="24"/>
          <w:lang w:val="en-IN" w:eastAsia="en-IN"/>
        </w:rPr>
        <w:t xml:space="preserve">          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A1722F">
        <w:rPr>
          <w:b/>
          <w:noProof/>
          <w:color w:val="FF0000"/>
          <w:sz w:val="24"/>
          <w:szCs w:val="24"/>
          <w:lang w:val="en-IN" w:eastAsia="en-IN"/>
        </w:rPr>
        <w:t xml:space="preserve">          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A1722F">
        <w:rPr>
          <w:b/>
          <w:noProof/>
          <w:color w:val="FF0000"/>
          <w:sz w:val="24"/>
          <w:szCs w:val="24"/>
          <w:lang w:val="en-IN" w:eastAsia="en-IN"/>
        </w:rPr>
        <w:t xml:space="preserve">          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E4212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CA6909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30143" w:rsidRDefault="0023014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6E53" w:rsidRDefault="000C6E5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6E53" w:rsidRDefault="000C6E5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 w:rsidR="00AB3335">
        <w:rPr>
          <w:rFonts w:ascii="Times New Roman" w:hAnsi="Times New Roman" w:cs="Times New Roman"/>
          <w:b/>
          <w:sz w:val="24"/>
          <w:szCs w:val="24"/>
        </w:rPr>
        <w:t xml:space="preserve">Semester- I of M.A.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proofErr w:type="spellStart"/>
      <w:r w:rsidRPr="00636C35">
        <w:rPr>
          <w:rFonts w:ascii="Times New Roman" w:hAnsi="Times New Roman" w:cs="Times New Roman"/>
          <w:b/>
          <w:sz w:val="24"/>
          <w:szCs w:val="24"/>
        </w:rPr>
        <w:t>aboutProjects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>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6A78CF" w:rsidRPr="00F91E96" w:rsidTr="006A78CF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6A78CF" w:rsidRPr="00F91E96" w:rsidTr="006A78CF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A78CF" w:rsidRPr="00F91E96" w:rsidTr="006A78C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6A78CF" w:rsidRDefault="006A78CF" w:rsidP="006A78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6A78CF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35317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B177B" w:rsidRPr="000B177B" w:rsidRDefault="000B177B" w:rsidP="000B177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6A78CF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40744D">
        <w:rPr>
          <w:rFonts w:ascii="Times New Roman" w:hAnsi="Times New Roman" w:cs="Times New Roman"/>
          <w:sz w:val="24"/>
          <w:szCs w:val="24"/>
        </w:rPr>
        <w:t xml:space="preserve">Project/ Seminars / assignments of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76E" w:rsidRDefault="001417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7B" w:rsidRDefault="000B177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40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832D8E" w:rsidRPr="0079197C" w:rsidTr="00832D8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6008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832D8E" w:rsidRPr="0079197C" w:rsidTr="00832D8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32D8E" w:rsidRPr="0079197C" w:rsidTr="00832D8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832D8E" w:rsidRDefault="00832D8E" w:rsidP="00832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832D8E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246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D7678" w:rsidRPr="000B177B" w:rsidRDefault="000B177B" w:rsidP="005D767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832D8E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40744D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7B4C65" w:rsidRDefault="00D27376" w:rsidP="00D27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of </w:t>
      </w:r>
      <w:r w:rsidR="00AB3335">
        <w:rPr>
          <w:rFonts w:ascii="Times New Roman" w:hAnsi="Times New Roman" w:cs="Times New Roman"/>
          <w:b/>
          <w:sz w:val="24"/>
          <w:szCs w:val="24"/>
        </w:rPr>
        <w:t xml:space="preserve">Semester- I of M.A.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D27376" w:rsidRPr="00636C35" w:rsidRDefault="00D27376" w:rsidP="00D27376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D27376" w:rsidRDefault="00D27376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636C35" w:rsidRDefault="00D27376" w:rsidP="00D27376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D27376" w:rsidRPr="00636C35" w:rsidRDefault="00D27376" w:rsidP="00D273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D27376" w:rsidRPr="00636C35" w:rsidRDefault="00D27376" w:rsidP="00D27376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D27376" w:rsidRPr="00636C35" w:rsidRDefault="00D27376" w:rsidP="00D27376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D27376" w:rsidRDefault="00D27376" w:rsidP="00D27376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F5935" w:rsidRPr="003F5935" w:rsidRDefault="003F5935" w:rsidP="003F593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E35B31" w:rsidRPr="00636C35" w:rsidTr="00382D89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</w:t>
            </w:r>
          </w:p>
        </w:tc>
      </w:tr>
      <w:tr w:rsidR="00E204D4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204D4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204D4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E204D4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04D4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D27376" w:rsidRDefault="00E204D4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62350" cy="21145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3682" w:rsidRPr="00E02E61" w:rsidRDefault="00E204D4" w:rsidP="00E02E6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04D4">
        <w:rPr>
          <w:rFonts w:ascii="Times New Roman" w:hAnsi="Times New Roman" w:cs="Times New Roman"/>
          <w:b/>
          <w:sz w:val="24"/>
          <w:szCs w:val="24"/>
        </w:rPr>
        <w:t>0</w:t>
      </w:r>
      <w:r w:rsidR="004A3682" w:rsidRPr="00E204D4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Department of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E02E61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E02E61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61" w:rsidRPr="00E02E61">
        <w:rPr>
          <w:rFonts w:ascii="Times New Roman" w:hAnsi="Times New Roman" w:cs="Times New Roman"/>
          <w:sz w:val="24"/>
          <w:szCs w:val="24"/>
        </w:rPr>
        <w:t>kendr</w:t>
      </w:r>
      <w:r w:rsidR="004A3682" w:rsidRPr="00E02E6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A3682" w:rsidRPr="00E02E61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4A3682" w:rsidRPr="00705A57" w:rsidRDefault="00E204D4" w:rsidP="00705A5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4A3682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4A3682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proofErr w:type="spellEnd"/>
      <w:r w:rsidR="004A3682" w:rsidRPr="00705A57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A3682" w:rsidRDefault="00E204D4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4A3682" w:rsidRDefault="00E204D4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8F552F" w:rsidRPr="00E0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2F" w:rsidRPr="00E02E61">
        <w:rPr>
          <w:rFonts w:ascii="Times New Roman" w:hAnsi="Times New Roman" w:cs="Times New Roman"/>
          <w:sz w:val="24"/>
          <w:szCs w:val="24"/>
        </w:rPr>
        <w:t>kendr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A33DB" w:rsidRDefault="003A33DB" w:rsidP="003A3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 w:rsidR="00FD38BD"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D246D0">
        <w:rPr>
          <w:rFonts w:ascii="Times New Roman" w:hAnsi="Times New Roman" w:cs="Times New Roman"/>
          <w:b/>
          <w:sz w:val="24"/>
          <w:szCs w:val="24"/>
        </w:rPr>
        <w:t xml:space="preserve">students of </w:t>
      </w:r>
      <w:r w:rsidR="00AB3335">
        <w:rPr>
          <w:rFonts w:ascii="Times New Roman" w:hAnsi="Times New Roman" w:cs="Times New Roman"/>
          <w:b/>
          <w:sz w:val="24"/>
          <w:szCs w:val="24"/>
        </w:rPr>
        <w:t xml:space="preserve">Semester- I of M.A.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Tarabai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Adhyasan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335">
        <w:rPr>
          <w:rFonts w:ascii="Times New Roman" w:hAnsi="Times New Roman" w:cs="Times New Roman"/>
          <w:b/>
          <w:sz w:val="24"/>
          <w:szCs w:val="24"/>
        </w:rPr>
        <w:t>K</w:t>
      </w:r>
      <w:r w:rsidR="00AB3335" w:rsidRPr="00AB3335">
        <w:rPr>
          <w:rFonts w:ascii="Times New Roman" w:hAnsi="Times New Roman" w:cs="Times New Roman"/>
          <w:b/>
          <w:sz w:val="24"/>
          <w:szCs w:val="24"/>
        </w:rPr>
        <w:t>endr</w:t>
      </w:r>
      <w:proofErr w:type="spellEnd"/>
      <w:r w:rsidR="00AB3335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A33DB" w:rsidRPr="00636C35" w:rsidRDefault="003A33DB" w:rsidP="003A3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3A33DB" w:rsidRPr="00636C35" w:rsidTr="003A33D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E204D4" w:rsidRPr="00636C35" w:rsidTr="002F16B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04D4" w:rsidRPr="00636C35" w:rsidTr="002F16B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04D4" w:rsidRPr="00636C35" w:rsidTr="002F16B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E204D4" w:rsidRPr="00636C35" w:rsidTr="002F16B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204D4" w:rsidRPr="00636C35" w:rsidTr="002F16B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4D4" w:rsidRDefault="00E204D4" w:rsidP="00E204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E204D4" w:rsidP="003A3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15025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E204D4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A33DB" w:rsidRDefault="00E204D4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A33DB" w:rsidRDefault="00E204D4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3A33DB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3A33DB" w:rsidRDefault="00E204D4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7D6A4A">
        <w:rPr>
          <w:rFonts w:ascii="Times New Roman" w:hAnsi="Times New Roman" w:cs="Times New Roman"/>
          <w:sz w:val="24"/>
          <w:szCs w:val="24"/>
        </w:rPr>
        <w:t>find</w:t>
      </w:r>
      <w:r w:rsidR="003A33DB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A33DB" w:rsidRPr="000910DE" w:rsidRDefault="00E204D4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3A33DB" w:rsidRPr="00D27376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A33DB" w:rsidRPr="00D27376" w:rsidSect="00E204D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FF" w:rsidRDefault="00B47BFF" w:rsidP="009569D7">
      <w:pPr>
        <w:spacing w:after="0" w:line="240" w:lineRule="auto"/>
      </w:pPr>
      <w:r>
        <w:separator/>
      </w:r>
    </w:p>
  </w:endnote>
  <w:endnote w:type="continuationSeparator" w:id="0">
    <w:p w:rsidR="00B47BFF" w:rsidRDefault="00B47BFF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FF" w:rsidRDefault="00B47BFF" w:rsidP="009569D7">
      <w:pPr>
        <w:spacing w:after="0" w:line="240" w:lineRule="auto"/>
      </w:pPr>
      <w:r>
        <w:separator/>
      </w:r>
    </w:p>
  </w:footnote>
  <w:footnote w:type="continuationSeparator" w:id="0">
    <w:p w:rsidR="00B47BFF" w:rsidRDefault="00B47BFF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71AC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0435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0744D"/>
    <w:rsid w:val="00412905"/>
    <w:rsid w:val="00412D44"/>
    <w:rsid w:val="004130D3"/>
    <w:rsid w:val="004152DF"/>
    <w:rsid w:val="00415709"/>
    <w:rsid w:val="00417336"/>
    <w:rsid w:val="00422B29"/>
    <w:rsid w:val="00424F04"/>
    <w:rsid w:val="00430161"/>
    <w:rsid w:val="00430BFB"/>
    <w:rsid w:val="00434BF6"/>
    <w:rsid w:val="00434D97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4EF7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5F8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A78CF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E6243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2D8E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86A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52F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22F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335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47BFF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A4C80"/>
    <w:rsid w:val="00CA6909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2E61"/>
    <w:rsid w:val="00E07A76"/>
    <w:rsid w:val="00E15EFD"/>
    <w:rsid w:val="00E15FF5"/>
    <w:rsid w:val="00E165F4"/>
    <w:rsid w:val="00E204D4"/>
    <w:rsid w:val="00E20D8D"/>
    <w:rsid w:val="00E211C5"/>
    <w:rsid w:val="00E22470"/>
    <w:rsid w:val="00E24CEC"/>
    <w:rsid w:val="00E275A4"/>
    <w:rsid w:val="00E33847"/>
    <w:rsid w:val="00E34868"/>
    <w:rsid w:val="00E34A42"/>
    <w:rsid w:val="00E35B31"/>
    <w:rsid w:val="00E36BDF"/>
    <w:rsid w:val="00E42128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5381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Sheet4!$A$12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Sheet4!$B$11:$F$11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Sheet4!$B$12:$F$12</c:f>
              <c:numCache>
                <c:formatCode>0</c:formatCode>
                <c:ptCount val="5"/>
                <c:pt idx="0">
                  <c:v>7.6923076923076925</c:v>
                </c:pt>
                <c:pt idx="1">
                  <c:v>4.6242774566473939</c:v>
                </c:pt>
                <c:pt idx="2">
                  <c:v>6.1728395061728385</c:v>
                </c:pt>
                <c:pt idx="3">
                  <c:v>2.9069767441860472</c:v>
                </c:pt>
                <c:pt idx="4">
                  <c:v>6.7796610169491576</c:v>
                </c:pt>
              </c:numCache>
            </c:numRef>
          </c:val>
        </c:ser>
        <c:ser>
          <c:idx val="1"/>
          <c:order val="1"/>
          <c:tx>
            <c:strRef>
              <c:f>Sheet4!$A$13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Sheet4!$B$11:$F$11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Sheet4!$B$13:$F$13</c:f>
              <c:numCache>
                <c:formatCode>0</c:formatCode>
                <c:ptCount val="5"/>
                <c:pt idx="0">
                  <c:v>35.502958579881657</c:v>
                </c:pt>
                <c:pt idx="1">
                  <c:v>31.213872832369919</c:v>
                </c:pt>
                <c:pt idx="2">
                  <c:v>25.92592592592591</c:v>
                </c:pt>
                <c:pt idx="3">
                  <c:v>30.232558139534881</c:v>
                </c:pt>
                <c:pt idx="4">
                  <c:v>18.644067796610194</c:v>
                </c:pt>
              </c:numCache>
            </c:numRef>
          </c:val>
        </c:ser>
        <c:ser>
          <c:idx val="2"/>
          <c:order val="2"/>
          <c:tx>
            <c:strRef>
              <c:f>Sheet4!$A$14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Sheet4!$B$11:$F$11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Sheet4!$B$14:$F$14</c:f>
              <c:numCache>
                <c:formatCode>0</c:formatCode>
                <c:ptCount val="5"/>
                <c:pt idx="0">
                  <c:v>28.994082840236686</c:v>
                </c:pt>
                <c:pt idx="1">
                  <c:v>38.728323699422013</c:v>
                </c:pt>
                <c:pt idx="2">
                  <c:v>30.864197530864189</c:v>
                </c:pt>
                <c:pt idx="3">
                  <c:v>31.39534883720928</c:v>
                </c:pt>
                <c:pt idx="4">
                  <c:v>44.067796610169488</c:v>
                </c:pt>
              </c:numCache>
            </c:numRef>
          </c:val>
        </c:ser>
        <c:ser>
          <c:idx val="3"/>
          <c:order val="3"/>
          <c:tx>
            <c:strRef>
              <c:f>Sheet4!$A$15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Sheet4!$B$11:$F$11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Sheet4!$B$15:$F$15</c:f>
              <c:numCache>
                <c:formatCode>0</c:formatCode>
                <c:ptCount val="5"/>
                <c:pt idx="0">
                  <c:v>27.810650887573949</c:v>
                </c:pt>
                <c:pt idx="1">
                  <c:v>25.433526011560673</c:v>
                </c:pt>
                <c:pt idx="2">
                  <c:v>37.037037037037024</c:v>
                </c:pt>
                <c:pt idx="3">
                  <c:v>35.465116279069818</c:v>
                </c:pt>
                <c:pt idx="4">
                  <c:v>30.508474576271173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353792"/>
        <c:axId val="40355328"/>
        <c:axId val="0"/>
      </c:bar3DChart>
      <c:catAx>
        <c:axId val="4035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55328"/>
        <c:crosses val="autoZero"/>
        <c:auto val="1"/>
        <c:lblAlgn val="ctr"/>
        <c:lblOffset val="100"/>
        <c:noMultiLvlLbl val="0"/>
      </c:catAx>
      <c:valAx>
        <c:axId val="4035532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5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Sheet4!$H$12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Sheet4!$I$11:$M$11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Sheet4!$I$12:$M$12</c:f>
              <c:numCache>
                <c:formatCode>0</c:formatCode>
                <c:ptCount val="5"/>
                <c:pt idx="0">
                  <c:v>3.902439024390242</c:v>
                </c:pt>
                <c:pt idx="1">
                  <c:v>3.9215686274509798</c:v>
                </c:pt>
                <c:pt idx="2">
                  <c:v>4.081632653061229</c:v>
                </c:pt>
                <c:pt idx="3">
                  <c:v>2.7027027027027044</c:v>
                </c:pt>
                <c:pt idx="4">
                  <c:v>5.8139534883720927</c:v>
                </c:pt>
              </c:numCache>
            </c:numRef>
          </c:val>
        </c:ser>
        <c:ser>
          <c:idx val="1"/>
          <c:order val="1"/>
          <c:tx>
            <c:strRef>
              <c:f>Sheet4!$H$13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Sheet4!$I$11:$M$11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Sheet4!$I$13:$M$13</c:f>
              <c:numCache>
                <c:formatCode>0</c:formatCode>
                <c:ptCount val="5"/>
                <c:pt idx="0">
                  <c:v>29.756097560975594</c:v>
                </c:pt>
                <c:pt idx="1">
                  <c:v>26.960784313725473</c:v>
                </c:pt>
                <c:pt idx="2">
                  <c:v>23.979591836734674</c:v>
                </c:pt>
                <c:pt idx="3">
                  <c:v>24.864864864864881</c:v>
                </c:pt>
                <c:pt idx="4">
                  <c:v>27.906976744186046</c:v>
                </c:pt>
              </c:numCache>
            </c:numRef>
          </c:val>
        </c:ser>
        <c:ser>
          <c:idx val="2"/>
          <c:order val="2"/>
          <c:tx>
            <c:strRef>
              <c:f>Sheet4!$H$14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Sheet4!$I$11:$M$11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Sheet4!$I$14:$M$14</c:f>
              <c:numCache>
                <c:formatCode>0</c:formatCode>
                <c:ptCount val="5"/>
                <c:pt idx="0">
                  <c:v>31.707317073170714</c:v>
                </c:pt>
                <c:pt idx="1">
                  <c:v>36.274509803921568</c:v>
                </c:pt>
                <c:pt idx="2">
                  <c:v>33.163265306122462</c:v>
                </c:pt>
                <c:pt idx="3">
                  <c:v>35.135135135135194</c:v>
                </c:pt>
                <c:pt idx="4">
                  <c:v>39.534883720930225</c:v>
                </c:pt>
              </c:numCache>
            </c:numRef>
          </c:val>
        </c:ser>
        <c:ser>
          <c:idx val="3"/>
          <c:order val="3"/>
          <c:tx>
            <c:strRef>
              <c:f>Sheet4!$H$15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Sheet4!$I$11:$M$11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Sheet4!$I$15:$M$15</c:f>
              <c:numCache>
                <c:formatCode>0</c:formatCode>
                <c:ptCount val="5"/>
                <c:pt idx="0">
                  <c:v>34.634146341463406</c:v>
                </c:pt>
                <c:pt idx="1">
                  <c:v>32.843137254901961</c:v>
                </c:pt>
                <c:pt idx="2">
                  <c:v>38.775510204081677</c:v>
                </c:pt>
                <c:pt idx="3">
                  <c:v>37.29729729729727</c:v>
                </c:pt>
                <c:pt idx="4">
                  <c:v>26.744186046511626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539648"/>
        <c:axId val="40541184"/>
        <c:axId val="0"/>
      </c:bar3DChart>
      <c:catAx>
        <c:axId val="4053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41184"/>
        <c:crosses val="autoZero"/>
        <c:auto val="1"/>
        <c:lblAlgn val="ctr"/>
        <c:lblOffset val="100"/>
        <c:noMultiLvlLbl val="0"/>
      </c:catAx>
      <c:valAx>
        <c:axId val="4054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3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Sheet4!$O$12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Sheet4!$P$11:$T$11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Sheet4!$P$12:$T$12</c:f>
              <c:numCache>
                <c:formatCode>0</c:formatCode>
                <c:ptCount val="5"/>
                <c:pt idx="0">
                  <c:v>7.3529411764705852</c:v>
                </c:pt>
                <c:pt idx="1">
                  <c:v>11.111111111111098</c:v>
                </c:pt>
                <c:pt idx="2">
                  <c:v>12.5</c:v>
                </c:pt>
                <c:pt idx="3">
                  <c:v>12.195121951219511</c:v>
                </c:pt>
                <c:pt idx="4">
                  <c:v>15.789473684210515</c:v>
                </c:pt>
              </c:numCache>
            </c:numRef>
          </c:val>
        </c:ser>
        <c:ser>
          <c:idx val="1"/>
          <c:order val="1"/>
          <c:tx>
            <c:strRef>
              <c:f>Sheet4!$O$13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Sheet4!$P$11:$T$11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Sheet4!$P$13:$T$13</c:f>
              <c:numCache>
                <c:formatCode>0</c:formatCode>
                <c:ptCount val="5"/>
                <c:pt idx="0">
                  <c:v>35.294117647058876</c:v>
                </c:pt>
                <c:pt idx="1">
                  <c:v>38.095238095238102</c:v>
                </c:pt>
                <c:pt idx="2">
                  <c:v>12.5</c:v>
                </c:pt>
                <c:pt idx="3">
                  <c:v>36.585365853658509</c:v>
                </c:pt>
                <c:pt idx="4">
                  <c:v>52.631578947368418</c:v>
                </c:pt>
              </c:numCache>
            </c:numRef>
          </c:val>
        </c:ser>
        <c:ser>
          <c:idx val="2"/>
          <c:order val="2"/>
          <c:tx>
            <c:strRef>
              <c:f>Sheet4!$O$14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Sheet4!$P$11:$T$11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Sheet4!$P$14:$T$14</c:f>
              <c:numCache>
                <c:formatCode>0</c:formatCode>
                <c:ptCount val="5"/>
                <c:pt idx="0">
                  <c:v>32.352941176470559</c:v>
                </c:pt>
                <c:pt idx="1">
                  <c:v>28.571428571428569</c:v>
                </c:pt>
                <c:pt idx="2">
                  <c:v>43.75</c:v>
                </c:pt>
                <c:pt idx="3">
                  <c:v>26.829268292682933</c:v>
                </c:pt>
                <c:pt idx="4">
                  <c:v>26.315789473684209</c:v>
                </c:pt>
              </c:numCache>
            </c:numRef>
          </c:val>
        </c:ser>
        <c:ser>
          <c:idx val="3"/>
          <c:order val="3"/>
          <c:tx>
            <c:strRef>
              <c:f>Sheet4!$O$15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Sheet4!$P$11:$T$11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Sheet4!$P$15:$T$15</c:f>
              <c:numCache>
                <c:formatCode>0</c:formatCode>
                <c:ptCount val="5"/>
                <c:pt idx="0">
                  <c:v>25</c:v>
                </c:pt>
                <c:pt idx="1">
                  <c:v>22.222222222222193</c:v>
                </c:pt>
                <c:pt idx="2">
                  <c:v>31.25</c:v>
                </c:pt>
                <c:pt idx="3">
                  <c:v>24.390243902439011</c:v>
                </c:pt>
                <c:pt idx="4">
                  <c:v>5.2631578947368416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861056"/>
        <c:axId val="40866944"/>
        <c:axId val="0"/>
      </c:bar3DChart>
      <c:catAx>
        <c:axId val="4086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866944"/>
        <c:crosses val="autoZero"/>
        <c:auto val="1"/>
        <c:lblAlgn val="ctr"/>
        <c:lblOffset val="100"/>
        <c:noMultiLvlLbl val="0"/>
      </c:catAx>
      <c:valAx>
        <c:axId val="4086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86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Sheet4!$V$12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Sheet4!$W$11:$AA$11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Sheet4!$W$12:$AA$12</c:f>
              <c:numCache>
                <c:formatCode>0</c:formatCode>
                <c:ptCount val="5"/>
                <c:pt idx="0">
                  <c:v>0</c:v>
                </c:pt>
                <c:pt idx="1">
                  <c:v>21.951219512195109</c:v>
                </c:pt>
                <c:pt idx="2">
                  <c:v>0</c:v>
                </c:pt>
                <c:pt idx="3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Sheet4!$V$13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Sheet4!$W$11:$AA$11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Sheet4!$W$13:$AA$13</c:f>
              <c:numCache>
                <c:formatCode>0</c:formatCode>
                <c:ptCount val="5"/>
                <c:pt idx="0">
                  <c:v>33.333333333333329</c:v>
                </c:pt>
                <c:pt idx="1">
                  <c:v>21.951219512195109</c:v>
                </c:pt>
                <c:pt idx="2">
                  <c:v>28.125</c:v>
                </c:pt>
                <c:pt idx="3">
                  <c:v>21.875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Sheet4!$V$14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Sheet4!$W$11:$AA$11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Sheet4!$W$14:$AA$14</c:f>
              <c:numCache>
                <c:formatCode>0</c:formatCode>
                <c:ptCount val="5"/>
                <c:pt idx="0">
                  <c:v>33.333333333333329</c:v>
                </c:pt>
                <c:pt idx="1">
                  <c:v>31.707317073170714</c:v>
                </c:pt>
                <c:pt idx="2">
                  <c:v>34.375</c:v>
                </c:pt>
                <c:pt idx="3">
                  <c:v>34.375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Sheet4!$V$15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Sheet4!$W$11:$AA$11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Sheet4!$W$15:$AA$15</c:f>
              <c:numCache>
                <c:formatCode>0</c:formatCode>
                <c:ptCount val="5"/>
                <c:pt idx="0">
                  <c:v>33.333333333333329</c:v>
                </c:pt>
                <c:pt idx="1">
                  <c:v>24.390243902439011</c:v>
                </c:pt>
                <c:pt idx="2">
                  <c:v>37.5</c:v>
                </c:pt>
                <c:pt idx="3">
                  <c:v>43.75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928384"/>
        <c:axId val="40929920"/>
        <c:axId val="0"/>
      </c:bar3DChart>
      <c:catAx>
        <c:axId val="4092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29920"/>
        <c:crosses val="autoZero"/>
        <c:auto val="1"/>
        <c:lblAlgn val="ctr"/>
        <c:lblOffset val="100"/>
        <c:noMultiLvlLbl val="0"/>
      </c:catAx>
      <c:valAx>
        <c:axId val="4092992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2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Infrastructure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Sheet4!$AE$4</c:f>
              <c:strCache>
                <c:ptCount val="1"/>
                <c:pt idx="0">
                  <c:v>pet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Sheet4!$AC$5:$AC$8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Sheet4!$AE$5:$AE$8</c:f>
              <c:numCache>
                <c:formatCode>0</c:formatCode>
                <c:ptCount val="4"/>
                <c:pt idx="0">
                  <c:v>11.76470588235294</c:v>
                </c:pt>
                <c:pt idx="1">
                  <c:v>13.725490196078432</c:v>
                </c:pt>
                <c:pt idx="2">
                  <c:v>74.509803921568633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888192"/>
        <c:axId val="41026304"/>
        <c:axId val="0"/>
      </c:bar3DChart>
      <c:catAx>
        <c:axId val="4088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26304"/>
        <c:crosses val="autoZero"/>
        <c:auto val="1"/>
        <c:lblAlgn val="ctr"/>
        <c:lblOffset val="100"/>
        <c:noMultiLvlLbl val="0"/>
      </c:catAx>
      <c:valAx>
        <c:axId val="4102630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88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Sheet4!$AN$4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Sheet4!$AM$5:$AM$9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Sheet4!$AN$5:$AN$9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58.823529411764675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Sheet4!$AO$4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Sheet4!$AM$5:$AM$9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Sheet4!$AO$5:$AO$9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41.17647058823529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052416"/>
        <c:axId val="41066496"/>
        <c:axId val="0"/>
      </c:bar3DChart>
      <c:catAx>
        <c:axId val="4105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66496"/>
        <c:crosses val="autoZero"/>
        <c:auto val="1"/>
        <c:lblAlgn val="ctr"/>
        <c:lblOffset val="100"/>
        <c:noMultiLvlLbl val="0"/>
      </c:catAx>
      <c:valAx>
        <c:axId val="4106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5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51A8-21DB-408C-89CB-7764FB8F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6</cp:revision>
  <dcterms:created xsi:type="dcterms:W3CDTF">2018-06-28T07:43:00Z</dcterms:created>
  <dcterms:modified xsi:type="dcterms:W3CDTF">2018-10-16T13:02:00Z</dcterms:modified>
</cp:coreProperties>
</file>