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1" w:rsidRPr="00636C35" w:rsidRDefault="00D82221" w:rsidP="0070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</w:t>
      </w:r>
      <w:r w:rsidR="009569D7" w:rsidRPr="00636C35">
        <w:rPr>
          <w:rFonts w:ascii="Times New Roman" w:hAnsi="Times New Roman" w:cs="Times New Roman"/>
          <w:b/>
          <w:sz w:val="24"/>
          <w:szCs w:val="24"/>
        </w:rPr>
        <w:t>of feedbacks of students of</w:t>
      </w:r>
      <w:r w:rsidR="00CE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8DB">
        <w:rPr>
          <w:rFonts w:ascii="Times New Roman" w:hAnsi="Times New Roman" w:cs="Times New Roman"/>
          <w:b/>
          <w:sz w:val="24"/>
          <w:szCs w:val="24"/>
        </w:rPr>
        <w:t>Semester- I</w:t>
      </w:r>
      <w:r w:rsidR="00B1616E">
        <w:rPr>
          <w:rFonts w:ascii="Times New Roman" w:hAnsi="Times New Roman" w:cs="Times New Roman"/>
          <w:b/>
          <w:sz w:val="24"/>
          <w:szCs w:val="24"/>
        </w:rPr>
        <w:t>V</w:t>
      </w:r>
      <w:r w:rsidR="00CE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CA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C078B">
        <w:rPr>
          <w:rFonts w:ascii="Times New Roman" w:hAnsi="Times New Roman" w:cs="Times New Roman"/>
          <w:b/>
          <w:sz w:val="24"/>
          <w:szCs w:val="24"/>
        </w:rPr>
        <w:t xml:space="preserve">Tourism </w:t>
      </w:r>
      <w:r w:rsidR="005358DB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F80E45" w:rsidRPr="00636C35" w:rsidRDefault="00F80E45" w:rsidP="00CE27D2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AF6077">
        <w:rPr>
          <w:rFonts w:ascii="Times New Roman" w:hAnsi="Times New Roman" w:cs="Times New Roman"/>
          <w:b/>
          <w:sz w:val="24"/>
          <w:szCs w:val="24"/>
        </w:rPr>
        <w:t xml:space="preserve">acks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</w:t>
      </w:r>
      <w:r w:rsidR="00041BEE" w:rsidRPr="00636C35">
        <w:rPr>
          <w:rFonts w:ascii="Times New Roman" w:hAnsi="Times New Roman" w:cs="Times New Roman"/>
          <w:b/>
          <w:sz w:val="24"/>
          <w:szCs w:val="24"/>
        </w:rPr>
        <w:t xml:space="preserve"> curriculum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 w:rsidR="00CE27D2"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field</w:t>
      </w:r>
      <w:r w:rsidRPr="002D120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D1208">
        <w:rPr>
          <w:rFonts w:ascii="Times New Roman" w:hAnsi="Times New Roman" w:cs="Times New Roman"/>
          <w:sz w:val="24"/>
          <w:szCs w:val="24"/>
        </w:rPr>
        <w:t xml:space="preserve">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  <w:r w:rsidR="00CE2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2B7" w:rsidRDefault="00C552B7" w:rsidP="00C552B7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Frequency Score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423"/>
        <w:gridCol w:w="1418"/>
        <w:gridCol w:w="960"/>
        <w:gridCol w:w="960"/>
        <w:gridCol w:w="960"/>
      </w:tblGrid>
      <w:tr w:rsidR="00C50A66" w:rsidRPr="002C078B" w:rsidTr="00C50A66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0A66" w:rsidRDefault="00CE27D2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 Tourism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0A66" w:rsidRDefault="00CE27D2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Tourism Economy of Regional Revitalization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0A66" w:rsidRDefault="00CE27D2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Aviation Management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0A66" w:rsidRDefault="00CE27D2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Tourism Impact Analysis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0A66" w:rsidRDefault="00CE27D2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Niche Tourism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50A66" w:rsidRDefault="00CE27D2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E-Tourism</w:t>
            </w:r>
          </w:p>
        </w:tc>
      </w:tr>
      <w:tr w:rsidR="00C50A66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50A66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50A66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50A66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C50A66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60" w:type="dxa"/>
            <w:noWrap/>
            <w:vAlign w:val="bottom"/>
            <w:hideMark/>
          </w:tcPr>
          <w:p w:rsidR="00C50A66" w:rsidRDefault="00C50A66" w:rsidP="00C50A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</w:tbl>
    <w:p w:rsidR="00C552B7" w:rsidRDefault="00C552B7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C46DBE" w:rsidRPr="002C078B" w:rsidTr="00C50A66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sub6</w:t>
            </w:r>
          </w:p>
        </w:tc>
      </w:tr>
      <w:tr w:rsidR="00C46DBE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46DBE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46DBE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C46DBE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C46DBE" w:rsidRPr="002C078B" w:rsidTr="00C50A66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C46DBE" w:rsidRDefault="00C46DBE" w:rsidP="00C46DB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F94FCA" w:rsidRDefault="00F94FC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76FE" w:rsidRDefault="00C46DBE" w:rsidP="00B15C6F">
      <w:pPr>
        <w:tabs>
          <w:tab w:val="left" w:pos="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4355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6FE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5248" w:rsidRDefault="00B45248" w:rsidP="00B15C6F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Subject 1</w:t>
      </w:r>
      <w:r w:rsidR="00E165F4">
        <w:rPr>
          <w:b/>
          <w:noProof/>
          <w:sz w:val="24"/>
          <w:szCs w:val="24"/>
          <w:lang w:val="en-IN" w:eastAsia="en-IN"/>
        </w:rPr>
        <w:t xml:space="preserve">: </w:t>
      </w:r>
      <w:r w:rsidR="00C46DBE" w:rsidRPr="00C46DBE">
        <w:rPr>
          <w:b/>
          <w:noProof/>
          <w:sz w:val="24"/>
          <w:szCs w:val="24"/>
          <w:lang w:val="en-IN" w:eastAsia="en-IN"/>
        </w:rPr>
        <w:t>Eco Tourism</w:t>
      </w:r>
    </w:p>
    <w:p w:rsidR="00B45248" w:rsidRPr="00236F1C" w:rsidRDefault="00301C9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Excellent </w:t>
      </w:r>
    </w:p>
    <w:p w:rsidR="00B45248" w:rsidRPr="00236F1C" w:rsidRDefault="00301C9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01C9C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good</w:t>
      </w:r>
    </w:p>
    <w:p w:rsidR="00B15C6F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1 as </w:t>
      </w:r>
      <w:r w:rsidR="00B45248">
        <w:rPr>
          <w:rFonts w:ascii="Times New Roman" w:hAnsi="Times New Roman" w:cs="Times New Roman"/>
          <w:sz w:val="24"/>
          <w:szCs w:val="24"/>
        </w:rPr>
        <w:t>average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2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46DBE" w:rsidRPr="00C46DBE">
        <w:rPr>
          <w:b/>
          <w:noProof/>
          <w:sz w:val="24"/>
          <w:szCs w:val="24"/>
          <w:lang w:val="en-IN" w:eastAsia="en-IN"/>
        </w:rPr>
        <w:t>Tourism Economy and Regional Revitalization</w:t>
      </w:r>
    </w:p>
    <w:p w:rsidR="001F76FE" w:rsidRPr="00236F1C" w:rsidRDefault="00301C9C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1F76FE" w:rsidRPr="00236F1C" w:rsidRDefault="00301C9C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outstanding</w:t>
      </w:r>
    </w:p>
    <w:p w:rsidR="001F76FE" w:rsidRPr="00236F1C" w:rsidRDefault="00301C9C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E61A80">
        <w:rPr>
          <w:rFonts w:ascii="Times New Roman" w:hAnsi="Times New Roman" w:cs="Times New Roman"/>
          <w:sz w:val="24"/>
          <w:szCs w:val="24"/>
        </w:rPr>
        <w:t>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good</w:t>
      </w:r>
    </w:p>
    <w:p w:rsidR="001F76FE" w:rsidRPr="00236F1C" w:rsidRDefault="00301C9C" w:rsidP="001F76F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F76F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2</w:t>
      </w:r>
      <w:r w:rsidR="001F76F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1F76FE">
        <w:rPr>
          <w:rFonts w:ascii="Times New Roman" w:hAnsi="Times New Roman" w:cs="Times New Roman"/>
          <w:sz w:val="24"/>
          <w:szCs w:val="24"/>
        </w:rPr>
        <w:t>average</w:t>
      </w:r>
    </w:p>
    <w:p w:rsidR="001F76FE" w:rsidRPr="00236F1C" w:rsidRDefault="001F76FE" w:rsidP="001F76F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3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46DBE" w:rsidRPr="00C46DBE">
        <w:rPr>
          <w:b/>
          <w:noProof/>
          <w:sz w:val="24"/>
          <w:szCs w:val="24"/>
          <w:lang w:val="en-IN" w:eastAsia="en-IN"/>
        </w:rPr>
        <w:t>Aviation Management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3E53F5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3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3E53F5" w:rsidRPr="00236F1C" w:rsidRDefault="003E53F5" w:rsidP="003E53F5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4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46DBE" w:rsidRPr="00C46DBE">
        <w:rPr>
          <w:b/>
          <w:noProof/>
          <w:sz w:val="24"/>
          <w:szCs w:val="24"/>
          <w:lang w:val="en-IN" w:eastAsia="en-IN"/>
        </w:rPr>
        <w:t>Tourism Impact Analysis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E61A80">
        <w:rPr>
          <w:rFonts w:ascii="Times New Roman" w:hAnsi="Times New Roman" w:cs="Times New Roman"/>
          <w:sz w:val="24"/>
          <w:szCs w:val="24"/>
        </w:rPr>
        <w:t>ed course curriculum of subject 4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B15C6F" w:rsidRP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 w:rsidR="003E53F5">
        <w:rPr>
          <w:b/>
          <w:noProof/>
          <w:sz w:val="24"/>
          <w:szCs w:val="24"/>
          <w:lang w:val="en-IN" w:eastAsia="en-IN"/>
        </w:rPr>
        <w:t>5</w:t>
      </w:r>
      <w:r w:rsidR="00FB6A56">
        <w:rPr>
          <w:b/>
          <w:noProof/>
          <w:sz w:val="24"/>
          <w:szCs w:val="24"/>
          <w:lang w:val="en-IN" w:eastAsia="en-IN"/>
        </w:rPr>
        <w:t xml:space="preserve">: </w:t>
      </w:r>
      <w:r w:rsidR="00C46DBE" w:rsidRPr="00C46DBE">
        <w:rPr>
          <w:b/>
          <w:noProof/>
          <w:sz w:val="24"/>
          <w:szCs w:val="24"/>
          <w:lang w:val="en-IN" w:eastAsia="en-IN"/>
        </w:rPr>
        <w:t>Niche Tourism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E61A80">
        <w:rPr>
          <w:rFonts w:ascii="Times New Roman" w:hAnsi="Times New Roman" w:cs="Times New Roman"/>
          <w:sz w:val="24"/>
          <w:szCs w:val="24"/>
        </w:rPr>
        <w:t>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outstanding</w:t>
      </w:r>
    </w:p>
    <w:p w:rsidR="00B15C6F" w:rsidRPr="00236F1C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good</w:t>
      </w:r>
    </w:p>
    <w:p w:rsidR="00B15C6F" w:rsidRPr="00C552B7" w:rsidRDefault="00301C9C" w:rsidP="00B15C6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5C6F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E61A80">
        <w:rPr>
          <w:rFonts w:ascii="Times New Roman" w:hAnsi="Times New Roman" w:cs="Times New Roman"/>
          <w:sz w:val="24"/>
          <w:szCs w:val="24"/>
        </w:rPr>
        <w:t>d course curriculum of subject 5</w:t>
      </w:r>
      <w:r w:rsidR="00B15C6F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15C6F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B15C6F" w:rsidRDefault="00C552B7" w:rsidP="00C552B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>6</w:t>
      </w:r>
      <w:r w:rsidR="000D2517">
        <w:rPr>
          <w:b/>
          <w:noProof/>
          <w:sz w:val="24"/>
          <w:szCs w:val="24"/>
          <w:lang w:val="en-IN" w:eastAsia="en-IN"/>
        </w:rPr>
        <w:t xml:space="preserve">: </w:t>
      </w:r>
      <w:r w:rsidR="00C46DBE" w:rsidRPr="00C46DBE">
        <w:rPr>
          <w:b/>
          <w:noProof/>
          <w:sz w:val="24"/>
          <w:szCs w:val="24"/>
          <w:lang w:val="en-IN" w:eastAsia="en-IN"/>
        </w:rPr>
        <w:t>E-Tourism</w:t>
      </w:r>
    </w:p>
    <w:p w:rsidR="00C552B7" w:rsidRPr="00236F1C" w:rsidRDefault="00301C9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subject </w:t>
      </w:r>
      <w:r w:rsidR="00C552B7">
        <w:rPr>
          <w:rFonts w:ascii="Times New Roman" w:hAnsi="Times New Roman" w:cs="Times New Roman"/>
          <w:sz w:val="24"/>
          <w:szCs w:val="24"/>
        </w:rPr>
        <w:t>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552B7" w:rsidRPr="00236F1C" w:rsidRDefault="00301C9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outstanding</w:t>
      </w:r>
    </w:p>
    <w:p w:rsidR="00C552B7" w:rsidRPr="00236F1C" w:rsidRDefault="00301C9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good</w:t>
      </w:r>
    </w:p>
    <w:p w:rsidR="00C552B7" w:rsidRPr="00236F1C" w:rsidRDefault="00301C9C" w:rsidP="00C552B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2B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552B7">
        <w:rPr>
          <w:rFonts w:ascii="Times New Roman" w:hAnsi="Times New Roman" w:cs="Times New Roman"/>
          <w:sz w:val="24"/>
          <w:szCs w:val="24"/>
        </w:rPr>
        <w:t>d course curriculum of subject 6</w:t>
      </w:r>
      <w:r w:rsidR="00C552B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552B7">
        <w:rPr>
          <w:rFonts w:ascii="Times New Roman" w:hAnsi="Times New Roman" w:cs="Times New Roman"/>
          <w:sz w:val="24"/>
          <w:szCs w:val="24"/>
        </w:rPr>
        <w:t>average</w:t>
      </w:r>
    </w:p>
    <w:p w:rsid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B7" w:rsidRPr="00C552B7" w:rsidRDefault="00C552B7" w:rsidP="00C552B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6F" w:rsidRDefault="00B15C6F">
      <w:pPr>
        <w:rPr>
          <w:rFonts w:ascii="Times New Roman" w:hAnsi="Times New Roman" w:cs="Times New Roman"/>
          <w:sz w:val="24"/>
          <w:szCs w:val="24"/>
        </w:rPr>
      </w:pPr>
    </w:p>
    <w:p w:rsidR="003C056A" w:rsidRDefault="003C056A">
      <w:pPr>
        <w:rPr>
          <w:rFonts w:ascii="Times New Roman" w:hAnsi="Times New Roman" w:cs="Times New Roman"/>
          <w:sz w:val="24"/>
          <w:szCs w:val="24"/>
        </w:rPr>
      </w:pPr>
    </w:p>
    <w:p w:rsidR="00762E1D" w:rsidRDefault="00762E1D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E61A80" w:rsidRDefault="00E61A80">
      <w:pPr>
        <w:rPr>
          <w:rFonts w:ascii="Times New Roman" w:hAnsi="Times New Roman" w:cs="Times New Roman"/>
          <w:sz w:val="24"/>
          <w:szCs w:val="24"/>
        </w:rPr>
      </w:pPr>
    </w:p>
    <w:p w:rsidR="00181D16" w:rsidRDefault="00181D16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A84032" w:rsidRDefault="00A84032">
      <w:pPr>
        <w:rPr>
          <w:rFonts w:ascii="Times New Roman" w:hAnsi="Times New Roman" w:cs="Times New Roman"/>
          <w:sz w:val="24"/>
          <w:szCs w:val="24"/>
        </w:rPr>
      </w:pPr>
    </w:p>
    <w:p w:rsidR="00C46DBE" w:rsidRDefault="00C46DBE">
      <w:pPr>
        <w:rPr>
          <w:rFonts w:ascii="Times New Roman" w:hAnsi="Times New Roman" w:cs="Times New Roman"/>
          <w:sz w:val="24"/>
          <w:szCs w:val="24"/>
        </w:rPr>
      </w:pPr>
    </w:p>
    <w:p w:rsidR="003C056A" w:rsidRPr="00636C35" w:rsidRDefault="003C056A" w:rsidP="003C05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Analysis of </w:t>
      </w:r>
      <w:r w:rsidR="00E61A80" w:rsidRPr="00636C35">
        <w:rPr>
          <w:rFonts w:ascii="Times New Roman" w:hAnsi="Times New Roman" w:cs="Times New Roman"/>
          <w:b/>
          <w:sz w:val="24"/>
          <w:szCs w:val="24"/>
          <w:u w:val="single"/>
        </w:rPr>
        <w:t>student’s</w:t>
      </w:r>
      <w:r w:rsidRPr="0063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C056A" w:rsidRPr="00636C35" w:rsidRDefault="003C056A" w:rsidP="003C056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the second part the students have given their feedback about different characteristics of  teachers about preparedness for each </w:t>
      </w:r>
      <w:r w:rsidR="00E61A80" w:rsidRPr="00636C35">
        <w:rPr>
          <w:rFonts w:ascii="Times New Roman" w:hAnsi="Times New Roman" w:cs="Times New Roman"/>
          <w:sz w:val="24"/>
          <w:szCs w:val="24"/>
        </w:rPr>
        <w:t>class use</w:t>
      </w:r>
      <w:r w:rsidRPr="00636C35">
        <w:rPr>
          <w:rFonts w:ascii="Times New Roman" w:hAnsi="Times New Roman" w:cs="Times New Roman"/>
          <w:sz w:val="24"/>
          <w:szCs w:val="24"/>
        </w:rPr>
        <w:t xml:space="preserve"> of ICT tools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 w:rsidR="00762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communicationclarity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concepts</w:t>
      </w:r>
      <w:r w:rsidR="001A516D">
        <w:rPr>
          <w:rFonts w:ascii="Times New Roman" w:hAnsi="Times New Roman" w:cs="Times New Roman"/>
          <w:sz w:val="24"/>
          <w:szCs w:val="24"/>
        </w:rPr>
        <w:t>,</w:t>
      </w:r>
      <w:r w:rsidRPr="00636C35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skills and time management as per student satisfaction level students have rated in 4 levels: 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C056A" w:rsidRPr="00636C35" w:rsidRDefault="003C056A" w:rsidP="003C056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C056A" w:rsidRDefault="003C056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The feedback </w:t>
      </w:r>
      <w:r>
        <w:rPr>
          <w:rFonts w:ascii="Times New Roman" w:hAnsi="Times New Roman" w:cs="Times New Roman"/>
          <w:b/>
          <w:sz w:val="24"/>
          <w:szCs w:val="24"/>
        </w:rPr>
        <w:t>given by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teachers</w:t>
      </w:r>
      <w:r w:rsidR="00647AC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0442C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05444">
        <w:rPr>
          <w:rFonts w:ascii="Times New Roman" w:hAnsi="Times New Roman" w:cs="Times New Roman"/>
          <w:b/>
          <w:sz w:val="24"/>
          <w:szCs w:val="24"/>
        </w:rPr>
        <w:t>V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973C31">
        <w:rPr>
          <w:rFonts w:ascii="Times New Roman" w:hAnsi="Times New Roman" w:cs="Times New Roman"/>
          <w:b/>
          <w:sz w:val="24"/>
          <w:szCs w:val="24"/>
        </w:rPr>
        <w:t>Tourism</w:t>
      </w:r>
      <w:r>
        <w:rPr>
          <w:rFonts w:ascii="Times New Roman" w:hAnsi="Times New Roman" w:cs="Times New Roman"/>
          <w:b/>
          <w:sz w:val="24"/>
          <w:szCs w:val="24"/>
        </w:rPr>
        <w:t xml:space="preserve"> 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636C35">
        <w:rPr>
          <w:rFonts w:ascii="Times New Roman" w:hAnsi="Times New Roman" w:cs="Times New Roman"/>
          <w:sz w:val="24"/>
          <w:szCs w:val="24"/>
        </w:rPr>
        <w:t>:</w:t>
      </w:r>
    </w:p>
    <w:p w:rsidR="00230EF2" w:rsidRDefault="00230EF2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73C31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423"/>
        <w:gridCol w:w="1418"/>
        <w:gridCol w:w="960"/>
        <w:gridCol w:w="960"/>
        <w:gridCol w:w="960"/>
      </w:tblGrid>
      <w:tr w:rsidR="002F705A" w:rsidRPr="00973C31" w:rsidTr="002F705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CE27D2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 Tourism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CE27D2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Tourism Economy of Regional Revitalization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CE27D2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Aviation Management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CE27D2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Tourism Impact Analysis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CE27D2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Niche Tourism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CE27D2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E-Tourism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</w:tr>
    </w:tbl>
    <w:p w:rsidR="00014B5A" w:rsidRDefault="00014B5A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C31" w:rsidRDefault="00973C31" w:rsidP="00973C31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Percentage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F705A" w:rsidRPr="00973C31" w:rsidTr="002F705A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2F705A" w:rsidRPr="00973C31" w:rsidTr="002F705A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705A" w:rsidRDefault="002F705A" w:rsidP="002F70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973C31" w:rsidRDefault="00973C31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42C" w:rsidRDefault="002F705A" w:rsidP="003C0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95975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Pr="00D94217" w:rsidRDefault="00C46DBE" w:rsidP="00C46DBE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C46DBE">
        <w:rPr>
          <w:b/>
          <w:noProof/>
          <w:sz w:val="24"/>
          <w:szCs w:val="24"/>
          <w:lang w:val="en-IN" w:eastAsia="en-IN"/>
        </w:rPr>
        <w:t>Eco Tourism</w:t>
      </w:r>
      <w:r w:rsidR="00D94217">
        <w:rPr>
          <w:b/>
          <w:noProof/>
          <w:sz w:val="24"/>
          <w:szCs w:val="24"/>
          <w:lang w:val="en-IN" w:eastAsia="en-IN"/>
        </w:rPr>
        <w:t xml:space="preserve"> </w:t>
      </w:r>
      <w:bookmarkStart w:id="0" w:name="_GoBack"/>
      <w:r w:rsidR="00C46BEC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  <w:bookmarkEnd w:id="0"/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94217" w:rsidRPr="00D94217" w:rsidRDefault="00C46DBE" w:rsidP="00D9421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C46DBE">
        <w:rPr>
          <w:b/>
          <w:noProof/>
          <w:sz w:val="24"/>
          <w:szCs w:val="24"/>
          <w:lang w:val="en-IN" w:eastAsia="en-IN"/>
        </w:rPr>
        <w:t>Tourism Economy and Regional Revitalization</w:t>
      </w:r>
      <w:r w:rsidR="00D94217">
        <w:rPr>
          <w:b/>
          <w:noProof/>
          <w:sz w:val="24"/>
          <w:szCs w:val="24"/>
          <w:lang w:val="en-IN" w:eastAsia="en-IN"/>
        </w:rPr>
        <w:t xml:space="preserve"> </w:t>
      </w:r>
      <w:r w:rsidR="00C46BEC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46DBE">
        <w:rPr>
          <w:rFonts w:ascii="Times New Roman" w:hAnsi="Times New Roman" w:cs="Times New Roman"/>
          <w:sz w:val="24"/>
          <w:szCs w:val="24"/>
        </w:rPr>
        <w:t>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Pr="00236F1C" w:rsidRDefault="00C46DBE" w:rsidP="00C46DB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94217" w:rsidRPr="00D94217" w:rsidRDefault="00C46DBE" w:rsidP="00D9421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C46DBE">
        <w:rPr>
          <w:b/>
          <w:noProof/>
          <w:sz w:val="24"/>
          <w:szCs w:val="24"/>
          <w:lang w:val="en-IN" w:eastAsia="en-IN"/>
        </w:rPr>
        <w:t>Aviation Management</w:t>
      </w:r>
      <w:r w:rsidR="00C46BEC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3E53F5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Pr="00236F1C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17" w:rsidRPr="00D94217" w:rsidRDefault="00C46DBE" w:rsidP="00D9421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C46DBE">
        <w:rPr>
          <w:b/>
          <w:noProof/>
          <w:sz w:val="24"/>
          <w:szCs w:val="24"/>
          <w:lang w:val="en-IN" w:eastAsia="en-IN"/>
        </w:rPr>
        <w:t>Tourism Impact Analysis</w:t>
      </w:r>
      <w:r w:rsidR="00C46BEC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C46DBE">
        <w:rPr>
          <w:rFonts w:ascii="Times New Roman" w:hAnsi="Times New Roman" w:cs="Times New Roman"/>
          <w:sz w:val="24"/>
          <w:szCs w:val="24"/>
        </w:rPr>
        <w:t xml:space="preserve">ed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Default="00C46DBE" w:rsidP="00C46DBE">
      <w:pPr>
        <w:rPr>
          <w:rFonts w:ascii="Times New Roman" w:hAnsi="Times New Roman" w:cs="Times New Roman"/>
          <w:sz w:val="24"/>
          <w:szCs w:val="24"/>
        </w:rPr>
      </w:pPr>
    </w:p>
    <w:p w:rsidR="00D94217" w:rsidRPr="00D94217" w:rsidRDefault="00C46DBE" w:rsidP="00D9421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C46DBE">
        <w:rPr>
          <w:b/>
          <w:noProof/>
          <w:sz w:val="24"/>
          <w:szCs w:val="24"/>
          <w:lang w:val="en-IN" w:eastAsia="en-IN"/>
        </w:rPr>
        <w:t>Niche Tourism</w:t>
      </w:r>
      <w:r w:rsidR="00C46BEC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46DBE">
        <w:rPr>
          <w:rFonts w:ascii="Times New Roman" w:hAnsi="Times New Roman" w:cs="Times New Roman"/>
          <w:sz w:val="24"/>
          <w:szCs w:val="24"/>
        </w:rPr>
        <w:t>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C552B7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Default="00C46DBE" w:rsidP="00C46DB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17" w:rsidRPr="00D94217" w:rsidRDefault="00C46DBE" w:rsidP="00D94217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color w:val="FF0000"/>
          <w:sz w:val="24"/>
          <w:szCs w:val="24"/>
          <w:lang w:val="en-IN" w:eastAsia="en-IN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Pr="00C46DBE">
        <w:rPr>
          <w:b/>
          <w:noProof/>
          <w:sz w:val="24"/>
          <w:szCs w:val="24"/>
          <w:lang w:val="en-IN" w:eastAsia="en-IN"/>
        </w:rPr>
        <w:t>E-Tourism</w:t>
      </w:r>
      <w:r w:rsidR="00C46BEC">
        <w:rPr>
          <w:b/>
          <w:noProof/>
          <w:color w:val="FF0000"/>
          <w:sz w:val="24"/>
          <w:szCs w:val="24"/>
          <w:lang w:val="en-IN" w:eastAsia="en-IN"/>
        </w:rPr>
        <w:t xml:space="preserve">    </w:t>
      </w: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46DBE">
        <w:rPr>
          <w:rFonts w:ascii="Times New Roman" w:hAnsi="Times New Roman" w:cs="Times New Roman"/>
          <w:sz w:val="24"/>
          <w:szCs w:val="24"/>
        </w:rPr>
        <w:t>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236F1C" w:rsidRDefault="002F705A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teachers performance of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B406F2" w:rsidRDefault="00B406F2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28204A" w:rsidRDefault="0028204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46EA4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4F0740" w:rsidRDefault="004F0740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8811B1" w:rsidRPr="00636C35" w:rsidRDefault="008811B1" w:rsidP="00647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647ACA">
        <w:rPr>
          <w:rFonts w:ascii="Times New Roman" w:hAnsi="Times New Roman" w:cs="Times New Roman"/>
          <w:b/>
          <w:sz w:val="24"/>
          <w:szCs w:val="24"/>
        </w:rPr>
        <w:t>I</w:t>
      </w:r>
      <w:r w:rsidR="00505444">
        <w:rPr>
          <w:rFonts w:ascii="Times New Roman" w:hAnsi="Times New Roman" w:cs="Times New Roman"/>
          <w:b/>
          <w:sz w:val="24"/>
          <w:szCs w:val="24"/>
        </w:rPr>
        <w:t>V</w:t>
      </w:r>
      <w:r w:rsidR="00647ACA" w:rsidRPr="00636C35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221C4">
        <w:rPr>
          <w:rFonts w:ascii="Times New Roman" w:hAnsi="Times New Roman" w:cs="Times New Roman"/>
          <w:b/>
          <w:sz w:val="24"/>
          <w:szCs w:val="24"/>
        </w:rPr>
        <w:t>Tourism</w:t>
      </w: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Pr="00636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C35">
        <w:rPr>
          <w:rFonts w:ascii="Times New Roman" w:hAnsi="Times New Roman" w:cs="Times New Roman"/>
          <w:b/>
          <w:sz w:val="24"/>
          <w:szCs w:val="24"/>
        </w:rPr>
        <w:t>aboutProjects</w:t>
      </w:r>
      <w:proofErr w:type="spellEnd"/>
      <w:r w:rsidRPr="00636C35">
        <w:rPr>
          <w:rFonts w:ascii="Times New Roman" w:hAnsi="Times New Roman" w:cs="Times New Roman"/>
          <w:b/>
          <w:sz w:val="24"/>
          <w:szCs w:val="24"/>
        </w:rPr>
        <w:t>/Seminars/ Home assignments/ Tutorials:</w:t>
      </w:r>
    </w:p>
    <w:p w:rsidR="008811B1" w:rsidRPr="00636C35" w:rsidRDefault="008811B1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8811B1" w:rsidRPr="00636C35" w:rsidRDefault="008811B1" w:rsidP="008811B1">
      <w:pPr>
        <w:pStyle w:val="ListParagraph"/>
        <w:numPr>
          <w:ilvl w:val="0"/>
          <w:numId w:val="8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r w:rsidR="00230EF2" w:rsidRPr="00636C35">
        <w:rPr>
          <w:rFonts w:ascii="Times New Roman" w:hAnsi="Times New Roman" w:cs="Times New Roman"/>
          <w:sz w:val="24"/>
          <w:szCs w:val="24"/>
        </w:rPr>
        <w:t>practical</w:t>
      </w:r>
      <w:r w:rsidR="00230EF2">
        <w:rPr>
          <w:rFonts w:ascii="Times New Roman" w:hAnsi="Times New Roman" w:cs="Times New Roman"/>
          <w:sz w:val="24"/>
          <w:szCs w:val="24"/>
        </w:rPr>
        <w:t>’s</w:t>
      </w:r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8811B1" w:rsidRPr="00636C35" w:rsidRDefault="00230EF2" w:rsidP="008811B1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As</w:t>
      </w:r>
      <w:r w:rsidR="008811B1"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8811B1" w:rsidRPr="00636C35" w:rsidRDefault="008811B1" w:rsidP="008811B1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C114ED" w:rsidRDefault="008811B1" w:rsidP="00C114ED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3: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 w:rsidRPr="00C114ED">
        <w:rPr>
          <w:rFonts w:ascii="Times New Roman" w:hAnsi="Times New Roman" w:cs="Times New Roman"/>
          <w:sz w:val="24"/>
          <w:szCs w:val="24"/>
        </w:rPr>
        <w:t xml:space="preserve"> given by students for project/seminar/assignments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423"/>
        <w:gridCol w:w="1418"/>
        <w:gridCol w:w="960"/>
        <w:gridCol w:w="960"/>
        <w:gridCol w:w="960"/>
      </w:tblGrid>
      <w:tr w:rsidR="00346EA4" w:rsidRPr="00F91E96" w:rsidTr="00346EA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CE27D2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 Tourism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CE27D2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Tourism Economy of Regional Revitalization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CE27D2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Aviation Management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CE27D2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Tourism Impact Analysis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CE27D2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Niche Tourism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CE27D2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E-Tourism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:rsidR="004F0740" w:rsidRDefault="004F0740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 3: Subject wise Percentage of grades given by students for project/seminar/assignments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346EA4" w:rsidRPr="00F91E96" w:rsidTr="00346EA4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346EA4" w:rsidRPr="00F91E96" w:rsidTr="00346EA4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346EA4" w:rsidRDefault="00346EA4" w:rsidP="00346E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F91E96" w:rsidRDefault="00F91E96" w:rsidP="00F91E9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46EA4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  <w:r>
        <w:rPr>
          <w:noProof/>
        </w:rPr>
        <w:drawing>
          <wp:inline distT="0" distB="0" distL="0" distR="0">
            <wp:extent cx="588645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C46DBE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C46DBE">
        <w:rPr>
          <w:b/>
          <w:noProof/>
          <w:sz w:val="24"/>
          <w:szCs w:val="24"/>
          <w:lang w:val="en-IN" w:eastAsia="en-IN"/>
        </w:rPr>
        <w:t>Eco Tourism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C46DBE">
        <w:rPr>
          <w:b/>
          <w:noProof/>
          <w:sz w:val="24"/>
          <w:szCs w:val="24"/>
          <w:lang w:val="en-IN" w:eastAsia="en-IN"/>
        </w:rPr>
        <w:t>Tourism Economy and Regional Revitalization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46DBE">
        <w:rPr>
          <w:rFonts w:ascii="Times New Roman" w:hAnsi="Times New Roman" w:cs="Times New Roman"/>
          <w:sz w:val="24"/>
          <w:szCs w:val="24"/>
        </w:rPr>
        <w:t>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Pr="00236F1C" w:rsidRDefault="00C46DBE" w:rsidP="00C46DB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C46DBE">
        <w:rPr>
          <w:b/>
          <w:noProof/>
          <w:sz w:val="24"/>
          <w:szCs w:val="24"/>
          <w:lang w:val="en-IN" w:eastAsia="en-IN"/>
        </w:rPr>
        <w:t>Aviation Management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3E53F5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Pr="00236F1C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C46DBE">
        <w:rPr>
          <w:b/>
          <w:noProof/>
          <w:sz w:val="24"/>
          <w:szCs w:val="24"/>
          <w:lang w:val="en-IN" w:eastAsia="en-IN"/>
        </w:rPr>
        <w:t>Tourism Impact Analysis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C46DBE">
        <w:rPr>
          <w:rFonts w:ascii="Times New Roman" w:hAnsi="Times New Roman" w:cs="Times New Roman"/>
          <w:sz w:val="24"/>
          <w:szCs w:val="24"/>
        </w:rPr>
        <w:t xml:space="preserve">ed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Default="00C46DBE" w:rsidP="00C46DBE">
      <w:pPr>
        <w:rPr>
          <w:rFonts w:ascii="Times New Roman" w:hAnsi="Times New Roman" w:cs="Times New Roman"/>
          <w:sz w:val="24"/>
          <w:szCs w:val="24"/>
        </w:rPr>
      </w:pP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C46DBE">
        <w:rPr>
          <w:b/>
          <w:noProof/>
          <w:sz w:val="24"/>
          <w:szCs w:val="24"/>
          <w:lang w:val="en-IN" w:eastAsia="en-IN"/>
        </w:rPr>
        <w:t>Niche Tourism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46DBE">
        <w:rPr>
          <w:rFonts w:ascii="Times New Roman" w:hAnsi="Times New Roman" w:cs="Times New Roman"/>
          <w:sz w:val="24"/>
          <w:szCs w:val="24"/>
        </w:rPr>
        <w:t>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C552B7" w:rsidRDefault="00346EA4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Default="00C46DBE" w:rsidP="00C46DB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Pr="00C46DBE">
        <w:rPr>
          <w:b/>
          <w:noProof/>
          <w:sz w:val="24"/>
          <w:szCs w:val="24"/>
          <w:lang w:val="en-IN" w:eastAsia="en-IN"/>
        </w:rPr>
        <w:t>E-Tourism</w:t>
      </w:r>
    </w:p>
    <w:p w:rsidR="00C46DBE" w:rsidRPr="00236F1C" w:rsidRDefault="00246E37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46DBE">
        <w:rPr>
          <w:rFonts w:ascii="Times New Roman" w:hAnsi="Times New Roman" w:cs="Times New Roman"/>
          <w:sz w:val="24"/>
          <w:szCs w:val="24"/>
        </w:rPr>
        <w:t>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46E37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46E37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236F1C" w:rsidRDefault="00246E37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 xml:space="preserve">projects / seminars/ assignments of 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552B7" w:rsidRPr="00236F1C" w:rsidRDefault="00C552B7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0" w:rsidRDefault="004F0740" w:rsidP="004F0740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AB00D4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A3F" w:rsidRDefault="00517A3F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Default="00C46DBE" w:rsidP="00AB0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D4" w:rsidRPr="00AB00D4" w:rsidRDefault="00AB00D4" w:rsidP="00AB0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D4">
        <w:rPr>
          <w:rFonts w:ascii="Times New Roman" w:hAnsi="Times New Roman" w:cs="Times New Roman"/>
          <w:b/>
          <w:sz w:val="24"/>
          <w:szCs w:val="24"/>
        </w:rPr>
        <w:t>Criterion: IV</w:t>
      </w:r>
    </w:p>
    <w:p w:rsidR="00AB00D4" w:rsidRPr="00636C35" w:rsidRDefault="00AB00D4" w:rsidP="00AB00D4">
      <w:pPr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36C35">
        <w:rPr>
          <w:rFonts w:ascii="Times New Roman" w:hAnsi="Times New Roman" w:cs="Times New Roman"/>
          <w:sz w:val="24"/>
          <w:szCs w:val="24"/>
        </w:rPr>
        <w:t xml:space="preserve"> students have given </w:t>
      </w:r>
      <w:r>
        <w:rPr>
          <w:rFonts w:ascii="Times New Roman" w:hAnsi="Times New Roman" w:cs="Times New Roman"/>
          <w:sz w:val="24"/>
          <w:szCs w:val="24"/>
        </w:rPr>
        <w:t>overall</w:t>
      </w:r>
      <w:r w:rsidRPr="00636C35">
        <w:rPr>
          <w:rFonts w:ascii="Times New Roman" w:hAnsi="Times New Roman" w:cs="Times New Roman"/>
          <w:sz w:val="24"/>
          <w:szCs w:val="24"/>
        </w:rPr>
        <w:t xml:space="preserve"> feedback about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36C35">
        <w:rPr>
          <w:rFonts w:ascii="Times New Roman" w:hAnsi="Times New Roman" w:cs="Times New Roman"/>
          <w:sz w:val="24"/>
          <w:szCs w:val="24"/>
        </w:rPr>
        <w:t>different aspects as</w:t>
      </w:r>
      <w:r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7816">
        <w:rPr>
          <w:rFonts w:ascii="Times New Roman" w:hAnsi="Times New Roman" w:cs="Times New Roman"/>
          <w:sz w:val="24"/>
          <w:szCs w:val="24"/>
        </w:rPr>
        <w:t xml:space="preserve">I enjoyed the seminar, project, tutorials, </w:t>
      </w:r>
      <w:proofErr w:type="gramStart"/>
      <w:r w:rsidRPr="00157816">
        <w:rPr>
          <w:rFonts w:ascii="Times New Roman" w:hAnsi="Times New Roman" w:cs="Times New Roman"/>
          <w:sz w:val="24"/>
          <w:szCs w:val="24"/>
        </w:rPr>
        <w:t>home</w:t>
      </w:r>
      <w:proofErr w:type="gramEnd"/>
      <w:r w:rsidRPr="00157816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recommend the course to others</w:t>
      </w:r>
    </w:p>
    <w:p w:rsidR="00AB00D4" w:rsidRDefault="00AB00D4" w:rsidP="00AB00D4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environment was student friendly</w:t>
      </w:r>
    </w:p>
    <w:p w:rsidR="00AB00D4" w:rsidRPr="00AB00D4" w:rsidRDefault="00AB00D4" w:rsidP="00AB00D4">
      <w:pPr>
        <w:tabs>
          <w:tab w:val="left" w:pos="944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B00D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B00D4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AB00D4" w:rsidRPr="00636C35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AB00D4" w:rsidRDefault="00AB00D4" w:rsidP="00AB00D4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5E3D8A" w:rsidRDefault="005E3D8A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79197C">
        <w:rPr>
          <w:rFonts w:ascii="Times New Roman" w:hAnsi="Times New Roman" w:cs="Times New Roman"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given by students about</w:t>
      </w:r>
      <w:r w:rsidR="00CE2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overall course 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423"/>
        <w:gridCol w:w="1418"/>
        <w:gridCol w:w="960"/>
        <w:gridCol w:w="960"/>
        <w:gridCol w:w="960"/>
      </w:tblGrid>
      <w:tr w:rsidR="002F314F" w:rsidRPr="0079197C" w:rsidTr="002F314F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2F314F" w:rsidP="002F3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CE27D2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 Tourism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CE27D2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Tourism Economy of Regional Revitalization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CE27D2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Aviation Management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CE27D2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Tourism Impact Analysis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CE27D2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Niche Tourism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CE27D2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E-Tourism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</w:tbl>
    <w:p w:rsidR="00BD7FA4" w:rsidRDefault="00BD7FA4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197C" w:rsidRDefault="0079197C" w:rsidP="0079197C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>: Subject wise Percentage</w:t>
      </w:r>
      <w:r>
        <w:rPr>
          <w:rFonts w:ascii="Times New Roman" w:hAnsi="Times New Roman" w:cs="Times New Roman"/>
          <w:sz w:val="24"/>
          <w:szCs w:val="24"/>
        </w:rPr>
        <w:t xml:space="preserve"> of grades given by students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aboutoverall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 </w:t>
      </w:r>
    </w:p>
    <w:tbl>
      <w:tblPr>
        <w:tblStyle w:val="TableGrid"/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2F314F" w:rsidRPr="0079197C" w:rsidTr="002F314F">
        <w:trPr>
          <w:trHeight w:val="300"/>
          <w:jc w:val="center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sub1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sub2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sub3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sub4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sub5</w:t>
            </w:r>
          </w:p>
        </w:tc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sub6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2F314F" w:rsidRPr="0079197C" w:rsidTr="002F314F">
        <w:trPr>
          <w:trHeight w:val="300"/>
          <w:jc w:val="center"/>
        </w:trPr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0" w:type="dxa"/>
            <w:noWrap/>
            <w:vAlign w:val="bottom"/>
            <w:hideMark/>
          </w:tcPr>
          <w:p w:rsidR="002F314F" w:rsidRDefault="002F314F" w:rsidP="002F31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79197C" w:rsidRPr="00C114ED" w:rsidRDefault="0079197C" w:rsidP="005E3D8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D8A" w:rsidRPr="0077497A" w:rsidRDefault="002F314F" w:rsidP="0077497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57900" cy="3048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56A" w:rsidRDefault="003C056A" w:rsidP="003C056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C46DBE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 xml:space="preserve">Subject 1: </w:t>
      </w:r>
      <w:r w:rsidRPr="00C46DBE">
        <w:rPr>
          <w:b/>
          <w:noProof/>
          <w:sz w:val="24"/>
          <w:szCs w:val="24"/>
          <w:lang w:val="en-IN" w:eastAsia="en-IN"/>
        </w:rPr>
        <w:t>Eco Tourism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Excellent 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1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2: </w:t>
      </w:r>
      <w:r w:rsidRPr="00C46DBE">
        <w:rPr>
          <w:b/>
          <w:noProof/>
          <w:sz w:val="24"/>
          <w:szCs w:val="24"/>
          <w:lang w:val="en-IN" w:eastAsia="en-IN"/>
        </w:rPr>
        <w:t>Tourism Economy and Regional Revitalization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46DBE">
        <w:rPr>
          <w:rFonts w:ascii="Times New Roman" w:hAnsi="Times New Roman" w:cs="Times New Roman"/>
          <w:sz w:val="24"/>
          <w:szCs w:val="24"/>
        </w:rPr>
        <w:t>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2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Pr="00236F1C" w:rsidRDefault="00C46DBE" w:rsidP="00C46DBE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3: </w:t>
      </w:r>
      <w:r w:rsidRPr="00C46DBE">
        <w:rPr>
          <w:b/>
          <w:noProof/>
          <w:sz w:val="24"/>
          <w:szCs w:val="24"/>
          <w:lang w:val="en-IN" w:eastAsia="en-IN"/>
        </w:rPr>
        <w:t>Aviation Management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3E53F5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3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Pr="00236F1C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4: </w:t>
      </w:r>
      <w:r w:rsidRPr="00C46DBE">
        <w:rPr>
          <w:b/>
          <w:noProof/>
          <w:sz w:val="24"/>
          <w:szCs w:val="24"/>
          <w:lang w:val="en-IN" w:eastAsia="en-IN"/>
        </w:rPr>
        <w:t>Tourism Impact Analysis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</w:t>
      </w:r>
      <w:r w:rsidR="00C46DBE">
        <w:rPr>
          <w:rFonts w:ascii="Times New Roman" w:hAnsi="Times New Roman" w:cs="Times New Roman"/>
          <w:sz w:val="24"/>
          <w:szCs w:val="24"/>
        </w:rPr>
        <w:t xml:space="preserve">ed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4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lastRenderedPageBreak/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5: </w:t>
      </w:r>
      <w:r w:rsidRPr="00C46DBE">
        <w:rPr>
          <w:b/>
          <w:noProof/>
          <w:sz w:val="24"/>
          <w:szCs w:val="24"/>
          <w:lang w:val="en-IN" w:eastAsia="en-IN"/>
        </w:rPr>
        <w:t>Niche Tourism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46DBE">
        <w:rPr>
          <w:rFonts w:ascii="Times New Roman" w:hAnsi="Times New Roman" w:cs="Times New Roman"/>
          <w:sz w:val="24"/>
          <w:szCs w:val="24"/>
        </w:rPr>
        <w:t>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C552B7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5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C46DBE" w:rsidRDefault="00C46DBE" w:rsidP="00C46DBE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DBE" w:rsidRPr="00B15C6F" w:rsidRDefault="00C46DBE" w:rsidP="00C46DBE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5C6F">
        <w:rPr>
          <w:b/>
          <w:noProof/>
          <w:sz w:val="24"/>
          <w:szCs w:val="24"/>
          <w:lang w:val="en-IN" w:eastAsia="en-IN"/>
        </w:rPr>
        <w:t xml:space="preserve">Subject </w:t>
      </w:r>
      <w:r>
        <w:rPr>
          <w:b/>
          <w:noProof/>
          <w:sz w:val="24"/>
          <w:szCs w:val="24"/>
          <w:lang w:val="en-IN" w:eastAsia="en-IN"/>
        </w:rPr>
        <w:t xml:space="preserve">6: </w:t>
      </w:r>
      <w:r w:rsidRPr="00C46DBE">
        <w:rPr>
          <w:b/>
          <w:noProof/>
          <w:sz w:val="24"/>
          <w:szCs w:val="24"/>
          <w:lang w:val="en-IN" w:eastAsia="en-IN"/>
        </w:rPr>
        <w:t>E-Tourism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subject </w:t>
      </w:r>
      <w:r w:rsidR="00C46DBE">
        <w:rPr>
          <w:rFonts w:ascii="Times New Roman" w:hAnsi="Times New Roman" w:cs="Times New Roman"/>
          <w:sz w:val="24"/>
          <w:szCs w:val="24"/>
        </w:rPr>
        <w:t>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outstanding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good</w:t>
      </w:r>
    </w:p>
    <w:p w:rsidR="00C46DBE" w:rsidRPr="00236F1C" w:rsidRDefault="002F314F" w:rsidP="00C46DBE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46DBE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of the students have rate</w:t>
      </w:r>
      <w:r w:rsidR="00C46DBE">
        <w:rPr>
          <w:rFonts w:ascii="Times New Roman" w:hAnsi="Times New Roman" w:cs="Times New Roman"/>
          <w:sz w:val="24"/>
          <w:szCs w:val="24"/>
        </w:rPr>
        <w:t xml:space="preserve">d </w:t>
      </w:r>
      <w:r w:rsidR="00CE27D2">
        <w:rPr>
          <w:rFonts w:ascii="Times New Roman" w:hAnsi="Times New Roman" w:cs="Times New Roman"/>
          <w:sz w:val="24"/>
          <w:szCs w:val="24"/>
        </w:rPr>
        <w:t>overall about</w:t>
      </w:r>
      <w:r w:rsidR="00C46DBE">
        <w:rPr>
          <w:rFonts w:ascii="Times New Roman" w:hAnsi="Times New Roman" w:cs="Times New Roman"/>
          <w:sz w:val="24"/>
          <w:szCs w:val="24"/>
        </w:rPr>
        <w:t xml:space="preserve"> subject 6</w:t>
      </w:r>
      <w:r w:rsidR="00C46DBE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C46DBE">
        <w:rPr>
          <w:rFonts w:ascii="Times New Roman" w:hAnsi="Times New Roman" w:cs="Times New Roman"/>
          <w:sz w:val="24"/>
          <w:szCs w:val="24"/>
        </w:rPr>
        <w:t>average</w:t>
      </w: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C46DBE" w:rsidRDefault="00C46DBE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64228" w:rsidRDefault="00564228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p w:rsidR="00501A90" w:rsidRDefault="00501A90" w:rsidP="00585045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</w:p>
    <w:sectPr w:rsidR="00501A90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91" w:rsidRDefault="00AC5391" w:rsidP="009569D7">
      <w:pPr>
        <w:spacing w:after="0" w:line="240" w:lineRule="auto"/>
      </w:pPr>
      <w:r>
        <w:separator/>
      </w:r>
    </w:p>
  </w:endnote>
  <w:endnote w:type="continuationSeparator" w:id="0">
    <w:p w:rsidR="00AC5391" w:rsidRDefault="00AC5391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91" w:rsidRDefault="00AC5391" w:rsidP="009569D7">
      <w:pPr>
        <w:spacing w:after="0" w:line="240" w:lineRule="auto"/>
      </w:pPr>
      <w:r>
        <w:separator/>
      </w:r>
    </w:p>
  </w:footnote>
  <w:footnote w:type="continuationSeparator" w:id="0">
    <w:p w:rsidR="00AC5391" w:rsidRDefault="00AC5391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9B8"/>
    <w:rsid w:val="0001091C"/>
    <w:rsid w:val="00014B5A"/>
    <w:rsid w:val="00015749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7290"/>
    <w:rsid w:val="000A0E6F"/>
    <w:rsid w:val="000A5B1A"/>
    <w:rsid w:val="000A61D1"/>
    <w:rsid w:val="000A7B41"/>
    <w:rsid w:val="000B287A"/>
    <w:rsid w:val="000B435D"/>
    <w:rsid w:val="000B47B6"/>
    <w:rsid w:val="000B63CF"/>
    <w:rsid w:val="000B7864"/>
    <w:rsid w:val="000C0109"/>
    <w:rsid w:val="000C56B1"/>
    <w:rsid w:val="000C5CB0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27ADA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A3"/>
    <w:rsid w:val="00141B1C"/>
    <w:rsid w:val="00141F11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44A8"/>
    <w:rsid w:val="001B480F"/>
    <w:rsid w:val="001B49EA"/>
    <w:rsid w:val="001B57D9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83B"/>
    <w:rsid w:val="00230EF2"/>
    <w:rsid w:val="002334B6"/>
    <w:rsid w:val="00233EB2"/>
    <w:rsid w:val="0023456D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7B67"/>
    <w:rsid w:val="0028204A"/>
    <w:rsid w:val="002827B0"/>
    <w:rsid w:val="00284CE9"/>
    <w:rsid w:val="00287835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91B34"/>
    <w:rsid w:val="00391FBE"/>
    <w:rsid w:val="00393F25"/>
    <w:rsid w:val="00396CD7"/>
    <w:rsid w:val="003972CB"/>
    <w:rsid w:val="003A203D"/>
    <w:rsid w:val="003A2A94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5E39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404C56"/>
    <w:rsid w:val="00405AE4"/>
    <w:rsid w:val="00412905"/>
    <w:rsid w:val="00412D44"/>
    <w:rsid w:val="004130D3"/>
    <w:rsid w:val="00415709"/>
    <w:rsid w:val="00417336"/>
    <w:rsid w:val="00422B29"/>
    <w:rsid w:val="00424F04"/>
    <w:rsid w:val="00430161"/>
    <w:rsid w:val="00430BFB"/>
    <w:rsid w:val="00434BF6"/>
    <w:rsid w:val="00434D97"/>
    <w:rsid w:val="00437CF7"/>
    <w:rsid w:val="00437D68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7773"/>
    <w:rsid w:val="00467B53"/>
    <w:rsid w:val="00475925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7314"/>
    <w:rsid w:val="004977F7"/>
    <w:rsid w:val="004A0AE3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07C9"/>
    <w:rsid w:val="00571B92"/>
    <w:rsid w:val="00571C11"/>
    <w:rsid w:val="0057307D"/>
    <w:rsid w:val="00573571"/>
    <w:rsid w:val="0058116A"/>
    <w:rsid w:val="00583751"/>
    <w:rsid w:val="00584C61"/>
    <w:rsid w:val="00585045"/>
    <w:rsid w:val="00590245"/>
    <w:rsid w:val="00591C2E"/>
    <w:rsid w:val="005922D0"/>
    <w:rsid w:val="005925FE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E0EF0"/>
    <w:rsid w:val="005E2AA0"/>
    <w:rsid w:val="005E3D8A"/>
    <w:rsid w:val="005E5BB1"/>
    <w:rsid w:val="005E6516"/>
    <w:rsid w:val="005E7574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4123"/>
    <w:rsid w:val="006473E1"/>
    <w:rsid w:val="00647ACA"/>
    <w:rsid w:val="00647D54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485A"/>
    <w:rsid w:val="006C550A"/>
    <w:rsid w:val="006C73E7"/>
    <w:rsid w:val="006D2508"/>
    <w:rsid w:val="006D2A83"/>
    <w:rsid w:val="006D4A35"/>
    <w:rsid w:val="006D5986"/>
    <w:rsid w:val="006D7EFA"/>
    <w:rsid w:val="006D7F9A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63CD"/>
    <w:rsid w:val="007105CC"/>
    <w:rsid w:val="00710D1D"/>
    <w:rsid w:val="00712B0B"/>
    <w:rsid w:val="0072023E"/>
    <w:rsid w:val="0072406F"/>
    <w:rsid w:val="007241EF"/>
    <w:rsid w:val="007270E5"/>
    <w:rsid w:val="00731E87"/>
    <w:rsid w:val="00732415"/>
    <w:rsid w:val="00733ECC"/>
    <w:rsid w:val="00741C3A"/>
    <w:rsid w:val="00742C51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6E69"/>
    <w:rsid w:val="007A0A9D"/>
    <w:rsid w:val="007A28CB"/>
    <w:rsid w:val="007A32D2"/>
    <w:rsid w:val="007A4163"/>
    <w:rsid w:val="007A43EF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7749"/>
    <w:rsid w:val="007E2CDF"/>
    <w:rsid w:val="007E5459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B2013"/>
    <w:rsid w:val="008B2450"/>
    <w:rsid w:val="008B31E0"/>
    <w:rsid w:val="008B4071"/>
    <w:rsid w:val="008B4412"/>
    <w:rsid w:val="008B4D52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5FD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69D7"/>
    <w:rsid w:val="00957839"/>
    <w:rsid w:val="0096549D"/>
    <w:rsid w:val="00973C31"/>
    <w:rsid w:val="00975A7E"/>
    <w:rsid w:val="00975AA9"/>
    <w:rsid w:val="00980F37"/>
    <w:rsid w:val="00981190"/>
    <w:rsid w:val="00981C5C"/>
    <w:rsid w:val="00984A18"/>
    <w:rsid w:val="00986A37"/>
    <w:rsid w:val="0099224B"/>
    <w:rsid w:val="00994375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6B5E"/>
    <w:rsid w:val="00A633DE"/>
    <w:rsid w:val="00A70C79"/>
    <w:rsid w:val="00A72796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14DD"/>
    <w:rsid w:val="00AC3E5E"/>
    <w:rsid w:val="00AC5391"/>
    <w:rsid w:val="00AC7458"/>
    <w:rsid w:val="00AD0778"/>
    <w:rsid w:val="00AD27F7"/>
    <w:rsid w:val="00AD4375"/>
    <w:rsid w:val="00AD5265"/>
    <w:rsid w:val="00AD5F9F"/>
    <w:rsid w:val="00AD79C6"/>
    <w:rsid w:val="00AE1906"/>
    <w:rsid w:val="00AE1E0A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328D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E31"/>
    <w:rsid w:val="00C07C30"/>
    <w:rsid w:val="00C10D50"/>
    <w:rsid w:val="00C114ED"/>
    <w:rsid w:val="00C11D35"/>
    <w:rsid w:val="00C20112"/>
    <w:rsid w:val="00C2272D"/>
    <w:rsid w:val="00C22858"/>
    <w:rsid w:val="00C22A3F"/>
    <w:rsid w:val="00C2473B"/>
    <w:rsid w:val="00C249CD"/>
    <w:rsid w:val="00C26869"/>
    <w:rsid w:val="00C326DE"/>
    <w:rsid w:val="00C3453F"/>
    <w:rsid w:val="00C35883"/>
    <w:rsid w:val="00C42AF1"/>
    <w:rsid w:val="00C45023"/>
    <w:rsid w:val="00C4530D"/>
    <w:rsid w:val="00C46931"/>
    <w:rsid w:val="00C46B1F"/>
    <w:rsid w:val="00C46BEC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3F67"/>
    <w:rsid w:val="00CA43DC"/>
    <w:rsid w:val="00CB38D9"/>
    <w:rsid w:val="00CB7B76"/>
    <w:rsid w:val="00CC182C"/>
    <w:rsid w:val="00CC28AC"/>
    <w:rsid w:val="00CC35F5"/>
    <w:rsid w:val="00CC616F"/>
    <w:rsid w:val="00CC7AD4"/>
    <w:rsid w:val="00CD0353"/>
    <w:rsid w:val="00CD229E"/>
    <w:rsid w:val="00CD2A0C"/>
    <w:rsid w:val="00CE1EF0"/>
    <w:rsid w:val="00CE244D"/>
    <w:rsid w:val="00CE27D2"/>
    <w:rsid w:val="00CE527F"/>
    <w:rsid w:val="00CE63C8"/>
    <w:rsid w:val="00CE7604"/>
    <w:rsid w:val="00CF2A58"/>
    <w:rsid w:val="00CF4209"/>
    <w:rsid w:val="00CF4669"/>
    <w:rsid w:val="00CF4D1E"/>
    <w:rsid w:val="00CF5D8A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4217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DF5F06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847"/>
    <w:rsid w:val="00E34868"/>
    <w:rsid w:val="00E34A42"/>
    <w:rsid w:val="00E36BDF"/>
    <w:rsid w:val="00E4583C"/>
    <w:rsid w:val="00E46CCA"/>
    <w:rsid w:val="00E4752F"/>
    <w:rsid w:val="00E55C20"/>
    <w:rsid w:val="00E61A80"/>
    <w:rsid w:val="00E7114A"/>
    <w:rsid w:val="00E73277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33EC"/>
    <w:rsid w:val="00EF5B7C"/>
    <w:rsid w:val="00EF5C4D"/>
    <w:rsid w:val="00EF67CD"/>
    <w:rsid w:val="00EF7BB6"/>
    <w:rsid w:val="00F03379"/>
    <w:rsid w:val="00F05B74"/>
    <w:rsid w:val="00F1142B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1225"/>
    <w:rsid w:val="00F32BD1"/>
    <w:rsid w:val="00F32F81"/>
    <w:rsid w:val="00F34B09"/>
    <w:rsid w:val="00F35277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7AD"/>
    <w:rsid w:val="00F73388"/>
    <w:rsid w:val="00F761CB"/>
    <w:rsid w:val="00F76C7F"/>
    <w:rsid w:val="00F77BAA"/>
    <w:rsid w:val="00F80E45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nak\Tourism\TOURISM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nak\Tourism\TOURISM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nak\Tourism\TOURISM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nak\Tourism\TOURISM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Course Curriculum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Sheet1!$A$443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Sheet1!$B$442:$G$442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Sheet1!$B$443:$G$443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Sheet1!$A$444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Sheet1!$B$442:$G$442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Sheet1!$B$444:$G$444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Sheet1!$A$445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Sheet1!$B$442:$G$442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Sheet1!$B$445:$G$445</c:f>
              <c:numCache>
                <c:formatCode>0</c:formatCode>
                <c:ptCount val="6"/>
                <c:pt idx="0">
                  <c:v>1.0416666666666659</c:v>
                </c:pt>
                <c:pt idx="1">
                  <c:v>0</c:v>
                </c:pt>
                <c:pt idx="2">
                  <c:v>1.0416666666666659</c:v>
                </c:pt>
                <c:pt idx="3">
                  <c:v>1.0416666666666659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Sheet1!$A$446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Sheet1!$B$442:$G$442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Sheet1!$B$446:$G$446</c:f>
              <c:numCache>
                <c:formatCode>0</c:formatCode>
                <c:ptCount val="6"/>
                <c:pt idx="0">
                  <c:v>98.958333333333286</c:v>
                </c:pt>
                <c:pt idx="1">
                  <c:v>100</c:v>
                </c:pt>
                <c:pt idx="2">
                  <c:v>98.958333333333286</c:v>
                </c:pt>
                <c:pt idx="3">
                  <c:v>98.958333333333286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4508800"/>
        <c:axId val="314510336"/>
        <c:axId val="0"/>
      </c:bar3DChart>
      <c:catAx>
        <c:axId val="314508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14510336"/>
        <c:crosses val="autoZero"/>
        <c:auto val="1"/>
        <c:lblAlgn val="ctr"/>
        <c:lblOffset val="100"/>
        <c:noMultiLvlLbl val="0"/>
      </c:catAx>
      <c:valAx>
        <c:axId val="31451033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145088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Sheet1!$K$443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Sheet1!$L$442:$Q$442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Sheet1!$L$443:$Q$443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Sheet1!$K$444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Sheet1!$L$442:$Q$442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Sheet1!$L$444:$Q$444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Sheet1!$K$445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Sheet1!$L$442:$Q$442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Sheet1!$L$445:$Q$445</c:f>
              <c:numCache>
                <c:formatCode>0</c:formatCode>
                <c:ptCount val="6"/>
                <c:pt idx="0">
                  <c:v>0</c:v>
                </c:pt>
                <c:pt idx="1">
                  <c:v>0.75757575757575812</c:v>
                </c:pt>
                <c:pt idx="2">
                  <c:v>0</c:v>
                </c:pt>
                <c:pt idx="3">
                  <c:v>0</c:v>
                </c:pt>
                <c:pt idx="4">
                  <c:v>0.69444444444444464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Sheet1!$K$446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Sheet1!$L$442:$Q$442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Sheet1!$L$446:$Q$446</c:f>
              <c:numCache>
                <c:formatCode>0</c:formatCode>
                <c:ptCount val="6"/>
                <c:pt idx="0">
                  <c:v>100</c:v>
                </c:pt>
                <c:pt idx="1">
                  <c:v>99.242424242424249</c:v>
                </c:pt>
                <c:pt idx="2">
                  <c:v>100</c:v>
                </c:pt>
                <c:pt idx="3">
                  <c:v>100</c:v>
                </c:pt>
                <c:pt idx="4">
                  <c:v>99.3055555555555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4555776"/>
        <c:axId val="314565760"/>
        <c:axId val="0"/>
      </c:bar3DChart>
      <c:catAx>
        <c:axId val="31455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565760"/>
        <c:crosses val="autoZero"/>
        <c:auto val="1"/>
        <c:lblAlgn val="ctr"/>
        <c:lblOffset val="100"/>
        <c:noMultiLvlLbl val="0"/>
      </c:catAx>
      <c:valAx>
        <c:axId val="31456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55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Project/Seminar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Sheet1!$Z$443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Sheet1!$AA$442:$AF$442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Sheet1!$AA$443:$AF$443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Sheet1!$Z$444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Sheet1!$AA$442:$AF$442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Sheet1!$AA$444:$AF$444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Sheet1!$Z$445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Sheet1!$AA$442:$AF$442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Sheet1!$AA$445:$AF$445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2.0833333333333348</c:v>
                </c:pt>
              </c:numCache>
            </c:numRef>
          </c:val>
        </c:ser>
        <c:ser>
          <c:idx val="3"/>
          <c:order val="3"/>
          <c:tx>
            <c:strRef>
              <c:f>Sheet1!$Z$446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Sheet1!$AA$442:$AF$442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Sheet1!$AA$446:$AF$446</c:f>
              <c:numCache>
                <c:formatCode>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97.916666666666714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4766848"/>
        <c:axId val="314768384"/>
        <c:axId val="0"/>
      </c:bar3DChart>
      <c:catAx>
        <c:axId val="31476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768384"/>
        <c:crosses val="autoZero"/>
        <c:auto val="1"/>
        <c:lblAlgn val="ctr"/>
        <c:lblOffset val="100"/>
        <c:noMultiLvlLbl val="0"/>
      </c:catAx>
      <c:valAx>
        <c:axId val="31476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76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Over All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Sheet1!$AJ$443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Sheet1!$AK$442:$AP$442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Sheet1!$AK$443:$AP$443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Sheet1!$AJ$444</c:f>
              <c:strCache>
                <c:ptCount val="1"/>
                <c:pt idx="0">
                  <c:v>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Sheet1!$AK$442:$AP$442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Sheet1!$AK$444:$AP$444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Sheet1!$AJ$445</c:f>
              <c:strCache>
                <c:ptCount val="1"/>
                <c:pt idx="0">
                  <c:v>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Sheet1!$AK$442:$AP$442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Sheet1!$AK$445:$AP$445</c:f>
              <c:numCache>
                <c:formatCode>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Sheet1!$AJ$446</c:f>
              <c:strCache>
                <c:ptCount val="1"/>
                <c:pt idx="0">
                  <c:v>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Sheet1!$AK$442:$AP$442</c:f>
              <c:strCache>
                <c:ptCount val="6"/>
                <c:pt idx="0">
                  <c:v>sub1</c:v>
                </c:pt>
                <c:pt idx="1">
                  <c:v>sub2</c:v>
                </c:pt>
                <c:pt idx="2">
                  <c:v>sub3</c:v>
                </c:pt>
                <c:pt idx="3">
                  <c:v>sub4</c:v>
                </c:pt>
                <c:pt idx="4">
                  <c:v>sub5</c:v>
                </c:pt>
                <c:pt idx="5">
                  <c:v>sub6</c:v>
                </c:pt>
              </c:strCache>
            </c:strRef>
          </c:cat>
          <c:val>
            <c:numRef>
              <c:f>Sheet1!$AK$446:$AP$446</c:f>
              <c:numCache>
                <c:formatCode>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5128832"/>
        <c:axId val="315155200"/>
        <c:axId val="0"/>
      </c:bar3DChart>
      <c:catAx>
        <c:axId val="31512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155200"/>
        <c:crosses val="autoZero"/>
        <c:auto val="1"/>
        <c:lblAlgn val="ctr"/>
        <c:lblOffset val="100"/>
        <c:noMultiLvlLbl val="0"/>
      </c:catAx>
      <c:valAx>
        <c:axId val="31515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12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A127-FBC3-42A7-A4CE-A04D1C5B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hp-08</cp:lastModifiedBy>
  <cp:revision>6</cp:revision>
  <dcterms:created xsi:type="dcterms:W3CDTF">2018-06-22T07:31:00Z</dcterms:created>
  <dcterms:modified xsi:type="dcterms:W3CDTF">2018-10-16T13:06:00Z</dcterms:modified>
</cp:coreProperties>
</file>