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44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I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C078B">
        <w:rPr>
          <w:rFonts w:ascii="Times New Roman" w:hAnsi="Times New Roman" w:cs="Times New Roman"/>
          <w:b/>
          <w:sz w:val="24"/>
          <w:szCs w:val="24"/>
        </w:rPr>
        <w:t xml:space="preserve">Tourism </w:t>
      </w:r>
      <w:r w:rsidR="005358DB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F80E45" w:rsidRPr="00636C35" w:rsidRDefault="00F80E45" w:rsidP="004411F2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11F2" w:rsidRPr="002C078B" w:rsidTr="002B67DC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4411F2" w:rsidRPr="002C078B" w:rsidRDefault="004411F2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960" w:type="dxa"/>
            <w:noWrap/>
            <w:hideMark/>
          </w:tcPr>
          <w:p w:rsidR="00C552B7" w:rsidRPr="002C078B" w:rsidRDefault="00C552B7" w:rsidP="00C552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78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552B7" w:rsidRPr="002C078B" w:rsidTr="00973C31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C552B7" w:rsidRPr="002C078B" w:rsidTr="00973C3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552B7" w:rsidRDefault="00C552B7" w:rsidP="00C552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2C078B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86425" cy="3009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Default="00B45248" w:rsidP="00B15C6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E165F4" w:rsidRPr="00E165F4">
        <w:rPr>
          <w:b/>
          <w:noProof/>
          <w:sz w:val="24"/>
          <w:szCs w:val="24"/>
          <w:lang w:val="en-IN" w:eastAsia="en-IN"/>
        </w:rPr>
        <w:t xml:space="preserve">Tourist Products of India </w:t>
      </w:r>
    </w:p>
    <w:p w:rsidR="00B45248" w:rsidRPr="00236F1C" w:rsidRDefault="00973C3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Excellent </w:t>
      </w:r>
    </w:p>
    <w:p w:rsidR="00B45248" w:rsidRPr="00236F1C" w:rsidRDefault="00973C3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73C3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good</w:t>
      </w:r>
    </w:p>
    <w:p w:rsidR="00B15C6F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average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Global Tourism Destinations</w:t>
      </w:r>
    </w:p>
    <w:p w:rsidR="001F76FE" w:rsidRPr="00236F1C" w:rsidRDefault="00973C31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F76FE" w:rsidRPr="00236F1C" w:rsidRDefault="00973C31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outstanding</w:t>
      </w:r>
    </w:p>
    <w:p w:rsidR="001F76FE" w:rsidRPr="00236F1C" w:rsidRDefault="00973C31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good</w:t>
      </w:r>
    </w:p>
    <w:p w:rsidR="001F76FE" w:rsidRPr="00236F1C" w:rsidRDefault="00973C31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Soft Skills and Communication for Tourism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3E53F5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Principles and Practices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E61A80">
        <w:rPr>
          <w:rFonts w:ascii="Times New Roman" w:hAnsi="Times New Roman" w:cs="Times New Roman"/>
          <w:sz w:val="24"/>
          <w:szCs w:val="24"/>
        </w:rPr>
        <w:t>ed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1F76FE" w:rsidRDefault="001F76FE">
      <w:pPr>
        <w:rPr>
          <w:rFonts w:ascii="Times New Roman" w:hAnsi="Times New Roman" w:cs="Times New Roman"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Products of Maharashtra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C552B7" w:rsidRDefault="00973C3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0D2517">
        <w:rPr>
          <w:b/>
          <w:noProof/>
          <w:sz w:val="24"/>
          <w:szCs w:val="24"/>
          <w:lang w:val="en-IN" w:eastAsia="en-IN"/>
        </w:rPr>
        <w:t xml:space="preserve">: </w:t>
      </w:r>
      <w:r w:rsidR="000D2517" w:rsidRPr="000D2517">
        <w:rPr>
          <w:b/>
          <w:noProof/>
          <w:sz w:val="24"/>
          <w:szCs w:val="24"/>
          <w:lang w:val="en-IN" w:eastAsia="en-IN"/>
        </w:rPr>
        <w:t>Tourism Related Laws in India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7</w:t>
      </w:r>
      <w:r w:rsidR="00DA49AE">
        <w:rPr>
          <w:b/>
          <w:noProof/>
          <w:sz w:val="24"/>
          <w:szCs w:val="24"/>
          <w:lang w:val="en-IN" w:eastAsia="en-IN"/>
        </w:rPr>
        <w:t xml:space="preserve">: </w:t>
      </w:r>
      <w:r w:rsidR="00DA49AE" w:rsidRPr="00DA49AE">
        <w:rPr>
          <w:b/>
          <w:noProof/>
          <w:sz w:val="24"/>
          <w:szCs w:val="24"/>
          <w:lang w:val="en-IN" w:eastAsia="en-IN"/>
        </w:rPr>
        <w:t>Constitution of India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552B7">
        <w:rPr>
          <w:rFonts w:ascii="Times New Roman" w:hAnsi="Times New Roman" w:cs="Times New Roman"/>
          <w:sz w:val="24"/>
          <w:szCs w:val="24"/>
        </w:rPr>
        <w:t>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973C31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44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73C31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11F2" w:rsidRPr="00973C31" w:rsidTr="00973C31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4411F2" w:rsidRPr="00973C31" w:rsidRDefault="004411F2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Pr="00973C31" w:rsidRDefault="004411F2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 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4411F2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4411F2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4411F2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4411F2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4411F2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73C31" w:rsidRPr="00973C31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3C31" w:rsidRPr="00973C31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3C31" w:rsidRPr="00973C31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73C31" w:rsidRPr="00973C31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</w:tr>
      <w:tr w:rsidR="00973C31" w:rsidRPr="00973C31" w:rsidTr="00973C31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960" w:type="dxa"/>
            <w:noWrap/>
            <w:hideMark/>
          </w:tcPr>
          <w:p w:rsidR="00973C31" w:rsidRPr="00973C31" w:rsidRDefault="00973C31" w:rsidP="00973C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C3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11F2" w:rsidRPr="00973C31" w:rsidTr="001554B0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Pr="00973C31" w:rsidRDefault="004411F2" w:rsidP="008E7A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 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8E7ABB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8E7ABB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8E7ABB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8E7ABB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8E7ABB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4411F2" w:rsidRDefault="004411F2" w:rsidP="008E7ABB">
            <w:r w:rsidRPr="00417203">
              <w:rPr>
                <w:rFonts w:ascii="Calibri" w:eastAsia="Times New Roman" w:hAnsi="Calibri" w:cs="Times New Roman"/>
                <w:color w:val="000000"/>
              </w:rPr>
              <w:t xml:space="preserve">Sub 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95F17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5F17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5F17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95F17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F95F17" w:rsidRPr="00973C31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5F17" w:rsidRDefault="00F95F17" w:rsidP="00F95F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F95F17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4075" cy="31432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E165F4" w:rsidRPr="00E165F4">
        <w:rPr>
          <w:b/>
          <w:noProof/>
          <w:sz w:val="24"/>
          <w:szCs w:val="24"/>
          <w:lang w:val="en-IN" w:eastAsia="en-IN"/>
        </w:rPr>
        <w:t>Tourist Products of India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bookmarkStart w:id="0" w:name="_GoBack"/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  <w:bookmarkEnd w:id="0"/>
    </w:p>
    <w:p w:rsidR="00C552B7" w:rsidRDefault="00C552B7" w:rsidP="00C552B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Global Tourism Destinations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552B7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Soft Skills and Communication for Tourism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3E53F5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Principles and Practices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C552B7">
        <w:rPr>
          <w:rFonts w:ascii="Times New Roman" w:hAnsi="Times New Roman" w:cs="Times New Roman"/>
          <w:sz w:val="24"/>
          <w:szCs w:val="24"/>
        </w:rPr>
        <w:t xml:space="preserve">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rPr>
          <w:rFonts w:ascii="Times New Roman" w:hAnsi="Times New Roman" w:cs="Times New Roman"/>
          <w:sz w:val="24"/>
          <w:szCs w:val="24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Products of Maharashtra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C552B7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0D2517">
        <w:rPr>
          <w:b/>
          <w:noProof/>
          <w:sz w:val="24"/>
          <w:szCs w:val="24"/>
          <w:lang w:val="en-IN" w:eastAsia="en-IN"/>
        </w:rPr>
        <w:t xml:space="preserve">: </w:t>
      </w:r>
      <w:r w:rsidR="000D2517" w:rsidRPr="000D2517">
        <w:rPr>
          <w:b/>
          <w:noProof/>
          <w:sz w:val="24"/>
          <w:szCs w:val="24"/>
          <w:lang w:val="en-IN" w:eastAsia="en-IN"/>
        </w:rPr>
        <w:t>Tourism Related Laws in India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9F" w:rsidRPr="00D94217" w:rsidRDefault="00C552B7" w:rsidP="001C549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7</w:t>
      </w:r>
      <w:r w:rsidR="00DA49AE">
        <w:rPr>
          <w:b/>
          <w:noProof/>
          <w:sz w:val="24"/>
          <w:szCs w:val="24"/>
          <w:lang w:val="en-IN" w:eastAsia="en-IN"/>
        </w:rPr>
        <w:t xml:space="preserve">: </w:t>
      </w:r>
      <w:r w:rsidR="00DA49AE" w:rsidRPr="00DA49AE">
        <w:rPr>
          <w:b/>
          <w:noProof/>
          <w:sz w:val="24"/>
          <w:szCs w:val="24"/>
          <w:lang w:val="en-IN" w:eastAsia="en-IN"/>
        </w:rPr>
        <w:t>Constitution of India</w:t>
      </w:r>
      <w:r w:rsidR="001C549F">
        <w:rPr>
          <w:b/>
          <w:noProof/>
          <w:sz w:val="24"/>
          <w:szCs w:val="24"/>
          <w:lang w:val="en-IN" w:eastAsia="en-IN"/>
        </w:rPr>
        <w:t xml:space="preserve"> </w:t>
      </w:r>
      <w:r w:rsidR="005966A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F95F17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teachers performance of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221C4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 w:rsidR="001C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11F2" w:rsidRPr="00F91E96" w:rsidTr="0021373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4411F2" w:rsidRPr="00F91E96" w:rsidRDefault="004411F2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</w:tr>
      <w:tr w:rsidR="00F91E96" w:rsidRPr="00F91E96" w:rsidTr="00F91E96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91E96" w:rsidRPr="00F91E96" w:rsidTr="00F91E96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91E96" w:rsidRPr="00F91E96" w:rsidTr="00F91E96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91E96" w:rsidRPr="00F91E96" w:rsidTr="00F91E96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</w:tr>
      <w:tr w:rsidR="00F91E96" w:rsidRPr="00F91E96" w:rsidTr="00F91E96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F91E96" w:rsidRPr="00F91E96" w:rsidRDefault="00F91E96" w:rsidP="00F91E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E9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1E96" w:rsidRPr="00F91E96" w:rsidTr="00FB6A5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</w:tr>
      <w:tr w:rsidR="00F91E96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1E96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1E96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1E96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F91E96" w:rsidRPr="00F91E96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91E96" w:rsidRDefault="00F91E96" w:rsidP="00F91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F91E96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9436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552B7" w:rsidRDefault="00C552B7" w:rsidP="00C552B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E165F4" w:rsidRPr="00E165F4">
        <w:rPr>
          <w:b/>
          <w:noProof/>
          <w:sz w:val="24"/>
          <w:szCs w:val="24"/>
          <w:lang w:val="en-IN" w:eastAsia="en-IN"/>
        </w:rPr>
        <w:t>Tourist Products of India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Global Tourism Destinations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552B7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Soft Skills and Communication for Tourism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3E53F5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Principles and Practices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C552B7">
        <w:rPr>
          <w:rFonts w:ascii="Times New Roman" w:hAnsi="Times New Roman" w:cs="Times New Roman"/>
          <w:sz w:val="24"/>
          <w:szCs w:val="24"/>
        </w:rPr>
        <w:t xml:space="preserve">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rPr>
          <w:rFonts w:ascii="Times New Roman" w:hAnsi="Times New Roman" w:cs="Times New Roman"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Products of Maharashtra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C552B7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Related Laws in India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7</w:t>
      </w:r>
      <w:r w:rsidR="00DA49AE">
        <w:rPr>
          <w:b/>
          <w:noProof/>
          <w:sz w:val="24"/>
          <w:szCs w:val="24"/>
          <w:lang w:val="en-IN" w:eastAsia="en-IN"/>
        </w:rPr>
        <w:t xml:space="preserve">: </w:t>
      </w:r>
      <w:r w:rsidR="00DA49AE" w:rsidRPr="00DA49AE">
        <w:rPr>
          <w:b/>
          <w:noProof/>
          <w:sz w:val="24"/>
          <w:szCs w:val="24"/>
          <w:lang w:val="en-IN" w:eastAsia="en-IN"/>
        </w:rPr>
        <w:t>Constitution of India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79197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44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11F2" w:rsidRPr="0079197C" w:rsidTr="006D3899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4411F2" w:rsidRPr="0079197C" w:rsidRDefault="004411F2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</w:tr>
      <w:tr w:rsidR="0079197C" w:rsidRPr="0079197C" w:rsidTr="0079197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9197C" w:rsidRPr="0079197C" w:rsidTr="0079197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9197C" w:rsidRPr="0079197C" w:rsidTr="0079197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9197C" w:rsidRPr="0079197C" w:rsidTr="0079197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79197C" w:rsidRPr="0079197C" w:rsidTr="0079197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79197C" w:rsidRPr="0079197C" w:rsidRDefault="0079197C" w:rsidP="007919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9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44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11F2" w:rsidRPr="0079197C" w:rsidTr="00FB6A5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411F2" w:rsidRDefault="004411F2" w:rsidP="008E7A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sub7</w:t>
            </w:r>
          </w:p>
        </w:tc>
      </w:tr>
      <w:tr w:rsidR="0079197C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197C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197C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197C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9197C" w:rsidRPr="0079197C" w:rsidTr="00FB6A5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79197C" w:rsidRDefault="0079197C" w:rsidP="0079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79197C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7695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552B7" w:rsidRDefault="00C552B7" w:rsidP="00C552B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287835">
        <w:rPr>
          <w:b/>
          <w:noProof/>
          <w:sz w:val="24"/>
          <w:szCs w:val="24"/>
          <w:lang w:val="en-IN" w:eastAsia="en-IN"/>
        </w:rPr>
        <w:t xml:space="preserve">: </w:t>
      </w:r>
      <w:r w:rsidR="00287835" w:rsidRPr="00287835">
        <w:rPr>
          <w:b/>
          <w:noProof/>
          <w:sz w:val="24"/>
          <w:szCs w:val="24"/>
          <w:lang w:val="en-IN" w:eastAsia="en-IN"/>
        </w:rPr>
        <w:t>Tourist Products of India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Global Tourism Destinations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552B7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Soft Skills and Communication for Tourism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3E53F5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Principles and Practices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C552B7">
        <w:rPr>
          <w:rFonts w:ascii="Times New Roman" w:hAnsi="Times New Roman" w:cs="Times New Roman"/>
          <w:sz w:val="24"/>
          <w:szCs w:val="24"/>
        </w:rPr>
        <w:t xml:space="preserve">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rPr>
          <w:rFonts w:ascii="Times New Roman" w:hAnsi="Times New Roman" w:cs="Times New Roman"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Products of Maharashtra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C552B7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FB6A56" w:rsidRPr="00FB6A56">
        <w:rPr>
          <w:b/>
          <w:noProof/>
          <w:sz w:val="24"/>
          <w:szCs w:val="24"/>
          <w:lang w:val="en-IN" w:eastAsia="en-IN"/>
        </w:rPr>
        <w:t>Tourism Related Laws in India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7</w:t>
      </w:r>
      <w:r w:rsidR="00DA49AE">
        <w:rPr>
          <w:b/>
          <w:noProof/>
          <w:sz w:val="24"/>
          <w:szCs w:val="24"/>
          <w:lang w:val="en-IN" w:eastAsia="en-IN"/>
        </w:rPr>
        <w:t xml:space="preserve">: </w:t>
      </w:r>
      <w:r w:rsidR="00DA49AE" w:rsidRPr="00DA49AE">
        <w:rPr>
          <w:b/>
          <w:noProof/>
          <w:sz w:val="24"/>
          <w:szCs w:val="24"/>
          <w:lang w:val="en-IN" w:eastAsia="en-IN"/>
        </w:rPr>
        <w:t>Constitution of India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52B7">
        <w:rPr>
          <w:rFonts w:ascii="Times New Roman" w:hAnsi="Times New Roman" w:cs="Times New Roman"/>
          <w:sz w:val="24"/>
          <w:szCs w:val="24"/>
        </w:rPr>
        <w:t>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564228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 xml:space="preserve">d </w:t>
      </w:r>
      <w:r w:rsidR="004411F2">
        <w:rPr>
          <w:rFonts w:ascii="Times New Roman" w:hAnsi="Times New Roman" w:cs="Times New Roman"/>
          <w:sz w:val="24"/>
          <w:szCs w:val="24"/>
        </w:rPr>
        <w:t>overall about</w:t>
      </w:r>
      <w:r w:rsidR="00C552B7">
        <w:rPr>
          <w:rFonts w:ascii="Times New Roman" w:hAnsi="Times New Roman" w:cs="Times New Roman"/>
          <w:sz w:val="24"/>
          <w:szCs w:val="24"/>
        </w:rPr>
        <w:t xml:space="preserve"> subject 7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64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Semester-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Master of Tourism Administration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  <w:r w:rsidR="004411F2">
        <w:rPr>
          <w:rFonts w:ascii="Times New Roman" w:hAnsi="Times New Roman" w:cs="Times New Roman"/>
          <w:b/>
          <w:sz w:val="24"/>
          <w:szCs w:val="24"/>
        </w:rPr>
        <w:t>: Infrastructure</w:t>
      </w:r>
    </w:p>
    <w:p w:rsidR="00564228" w:rsidRPr="00636C35" w:rsidRDefault="00564228" w:rsidP="0056422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564228" w:rsidRPr="007B4C65" w:rsidRDefault="00564228" w:rsidP="0056422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564228" w:rsidRDefault="00564228" w:rsidP="0056422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Pr="00636C35" w:rsidRDefault="00564228" w:rsidP="0056422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564228" w:rsidRPr="00636C35" w:rsidRDefault="00564228" w:rsidP="0056422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564228" w:rsidRPr="00636C35" w:rsidRDefault="00564228" w:rsidP="0056422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3176270</wp:posOffset>
            </wp:positionH>
            <wp:positionV relativeFrom="margin">
              <wp:posOffset>4321810</wp:posOffset>
            </wp:positionV>
            <wp:extent cx="2499995" cy="1889125"/>
            <wp:effectExtent l="19050" t="0" r="14605" b="0"/>
            <wp:wrapSquare wrapText="bothSides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564228" w:rsidRPr="00636C35" w:rsidRDefault="00564228" w:rsidP="0056422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564228" w:rsidRDefault="00564228" w:rsidP="0056422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64228" w:rsidRPr="00A179F4" w:rsidRDefault="00564228" w:rsidP="0056422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tbl>
      <w:tblPr>
        <w:tblW w:w="4210" w:type="dxa"/>
        <w:tblInd w:w="103" w:type="dxa"/>
        <w:tblLook w:val="04A0" w:firstRow="1" w:lastRow="0" w:firstColumn="1" w:lastColumn="0" w:noHBand="0" w:noVBand="1"/>
      </w:tblPr>
      <w:tblGrid>
        <w:gridCol w:w="1330"/>
        <w:gridCol w:w="1550"/>
        <w:gridCol w:w="1330"/>
      </w:tblGrid>
      <w:tr w:rsidR="00564228" w:rsidRPr="00636C35" w:rsidTr="00FB6A56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age</w:t>
            </w:r>
          </w:p>
        </w:tc>
      </w:tr>
      <w:tr w:rsidR="00564228" w:rsidRPr="00636C35" w:rsidTr="00FB6A5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</w:tr>
      <w:tr w:rsidR="00564228" w:rsidRPr="00636C35" w:rsidTr="00FB6A5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</w:tr>
      <w:tr w:rsidR="00564228" w:rsidRPr="00636C35" w:rsidTr="00FB6A5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</w:tr>
      <w:tr w:rsidR="00564228" w:rsidRPr="00636C35" w:rsidTr="00FB6A5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564228" w:rsidRPr="00636C35" w:rsidTr="00FB6A5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28" w:rsidRPr="00636C35" w:rsidRDefault="00564228" w:rsidP="00F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100.00</w:t>
            </w:r>
          </w:p>
        </w:tc>
      </w:tr>
    </w:tbl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11F2" w:rsidRPr="00021825" w:rsidRDefault="004411F2" w:rsidP="004411F2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4411F2" w:rsidRPr="00236F1C" w:rsidRDefault="004411F2" w:rsidP="004411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4411F2" w:rsidRPr="00236F1C" w:rsidRDefault="004411F2" w:rsidP="004411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4411F2" w:rsidRDefault="004411F2" w:rsidP="004411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4411F2" w:rsidRDefault="004411F2" w:rsidP="00441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Pr="003B36AA" w:rsidRDefault="00564228" w:rsidP="0056422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sectPr w:rsidR="00564228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6F" w:rsidRDefault="0071666F" w:rsidP="009569D7">
      <w:pPr>
        <w:spacing w:after="0" w:line="240" w:lineRule="auto"/>
      </w:pPr>
      <w:r>
        <w:separator/>
      </w:r>
    </w:p>
  </w:endnote>
  <w:endnote w:type="continuationSeparator" w:id="0">
    <w:p w:rsidR="0071666F" w:rsidRDefault="0071666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6F" w:rsidRDefault="0071666F" w:rsidP="009569D7">
      <w:pPr>
        <w:spacing w:after="0" w:line="240" w:lineRule="auto"/>
      </w:pPr>
      <w:r>
        <w:separator/>
      </w:r>
    </w:p>
  </w:footnote>
  <w:footnote w:type="continuationSeparator" w:id="0">
    <w:p w:rsidR="0071666F" w:rsidRDefault="0071666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287A"/>
    <w:rsid w:val="000B435D"/>
    <w:rsid w:val="000B47B6"/>
    <w:rsid w:val="000B63CF"/>
    <w:rsid w:val="000B7864"/>
    <w:rsid w:val="000C0109"/>
    <w:rsid w:val="000C56B1"/>
    <w:rsid w:val="000C5CB0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A3"/>
    <w:rsid w:val="00141B1C"/>
    <w:rsid w:val="00141F11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44A8"/>
    <w:rsid w:val="001B480F"/>
    <w:rsid w:val="001B49EA"/>
    <w:rsid w:val="001B57D9"/>
    <w:rsid w:val="001C549F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83B"/>
    <w:rsid w:val="00230EF2"/>
    <w:rsid w:val="002334B6"/>
    <w:rsid w:val="00233EB2"/>
    <w:rsid w:val="0023456D"/>
    <w:rsid w:val="00237DDA"/>
    <w:rsid w:val="00240E48"/>
    <w:rsid w:val="0024323E"/>
    <w:rsid w:val="00246528"/>
    <w:rsid w:val="002466D1"/>
    <w:rsid w:val="0025264C"/>
    <w:rsid w:val="0025699A"/>
    <w:rsid w:val="0027263A"/>
    <w:rsid w:val="00277B67"/>
    <w:rsid w:val="0028204A"/>
    <w:rsid w:val="002827B0"/>
    <w:rsid w:val="00284CE9"/>
    <w:rsid w:val="00287835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646B"/>
    <w:rsid w:val="002F6B47"/>
    <w:rsid w:val="00300EEB"/>
    <w:rsid w:val="0030318A"/>
    <w:rsid w:val="0030533C"/>
    <w:rsid w:val="00307A4E"/>
    <w:rsid w:val="00310048"/>
    <w:rsid w:val="003109E8"/>
    <w:rsid w:val="003123A7"/>
    <w:rsid w:val="00315029"/>
    <w:rsid w:val="00315543"/>
    <w:rsid w:val="00320467"/>
    <w:rsid w:val="00321659"/>
    <w:rsid w:val="003272E7"/>
    <w:rsid w:val="00334F81"/>
    <w:rsid w:val="003409F3"/>
    <w:rsid w:val="00342C37"/>
    <w:rsid w:val="00342CD3"/>
    <w:rsid w:val="003447E9"/>
    <w:rsid w:val="00347D53"/>
    <w:rsid w:val="00352ED7"/>
    <w:rsid w:val="00356C26"/>
    <w:rsid w:val="00360C79"/>
    <w:rsid w:val="00371475"/>
    <w:rsid w:val="00371B5E"/>
    <w:rsid w:val="003747B4"/>
    <w:rsid w:val="00380FB6"/>
    <w:rsid w:val="00391B34"/>
    <w:rsid w:val="00391FBE"/>
    <w:rsid w:val="00393F25"/>
    <w:rsid w:val="00396CD7"/>
    <w:rsid w:val="003972CB"/>
    <w:rsid w:val="003A203D"/>
    <w:rsid w:val="003A2A94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11F2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7314"/>
    <w:rsid w:val="004977F7"/>
    <w:rsid w:val="004A0AE3"/>
    <w:rsid w:val="004A4640"/>
    <w:rsid w:val="004A4B17"/>
    <w:rsid w:val="004A5DC2"/>
    <w:rsid w:val="004B17AB"/>
    <w:rsid w:val="004B1E2C"/>
    <w:rsid w:val="004B58E9"/>
    <w:rsid w:val="004B7B7B"/>
    <w:rsid w:val="004C25EE"/>
    <w:rsid w:val="004C2C7F"/>
    <w:rsid w:val="004C3A2E"/>
    <w:rsid w:val="004C4C7D"/>
    <w:rsid w:val="004D0247"/>
    <w:rsid w:val="004D1B80"/>
    <w:rsid w:val="004D556D"/>
    <w:rsid w:val="004E569E"/>
    <w:rsid w:val="004F01A3"/>
    <w:rsid w:val="004F0740"/>
    <w:rsid w:val="004F0FDF"/>
    <w:rsid w:val="004F5E3C"/>
    <w:rsid w:val="00501A90"/>
    <w:rsid w:val="00504F6C"/>
    <w:rsid w:val="0050613D"/>
    <w:rsid w:val="00511171"/>
    <w:rsid w:val="00515FD3"/>
    <w:rsid w:val="00517A3F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01F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8116A"/>
    <w:rsid w:val="00583751"/>
    <w:rsid w:val="00584C61"/>
    <w:rsid w:val="00585045"/>
    <w:rsid w:val="00590245"/>
    <w:rsid w:val="00591C2E"/>
    <w:rsid w:val="005922D0"/>
    <w:rsid w:val="005966A8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2E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4123"/>
    <w:rsid w:val="006473E1"/>
    <w:rsid w:val="00647ACA"/>
    <w:rsid w:val="00647D54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63CD"/>
    <w:rsid w:val="007105CC"/>
    <w:rsid w:val="00710D1D"/>
    <w:rsid w:val="00712B0B"/>
    <w:rsid w:val="0071666F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6E69"/>
    <w:rsid w:val="007A0A9D"/>
    <w:rsid w:val="007A28CB"/>
    <w:rsid w:val="007A32D2"/>
    <w:rsid w:val="007A4163"/>
    <w:rsid w:val="007A43EF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7749"/>
    <w:rsid w:val="007E2CDF"/>
    <w:rsid w:val="007E5459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0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0ECB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6B5E"/>
    <w:rsid w:val="00A633DE"/>
    <w:rsid w:val="00A640C5"/>
    <w:rsid w:val="00A70C79"/>
    <w:rsid w:val="00A72796"/>
    <w:rsid w:val="00A74E5B"/>
    <w:rsid w:val="00A74F10"/>
    <w:rsid w:val="00A80909"/>
    <w:rsid w:val="00A83F5E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D0778"/>
    <w:rsid w:val="00AD27F7"/>
    <w:rsid w:val="00AD4375"/>
    <w:rsid w:val="00AD5265"/>
    <w:rsid w:val="00AD5F9F"/>
    <w:rsid w:val="00AD79C6"/>
    <w:rsid w:val="00AE1906"/>
    <w:rsid w:val="00AE1E0A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1017E"/>
    <w:rsid w:val="00B107A4"/>
    <w:rsid w:val="00B14204"/>
    <w:rsid w:val="00B1497C"/>
    <w:rsid w:val="00B159D4"/>
    <w:rsid w:val="00B15C6F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6C8A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328D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473B"/>
    <w:rsid w:val="00C249CD"/>
    <w:rsid w:val="00C26869"/>
    <w:rsid w:val="00C326DE"/>
    <w:rsid w:val="00C3453F"/>
    <w:rsid w:val="00C35883"/>
    <w:rsid w:val="00C42AF1"/>
    <w:rsid w:val="00C45023"/>
    <w:rsid w:val="00C4530D"/>
    <w:rsid w:val="00C46931"/>
    <w:rsid w:val="00C46B1F"/>
    <w:rsid w:val="00C46C04"/>
    <w:rsid w:val="00C50249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Tourism\TOURISM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Tourism\TOURISM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Tourism\TOURISM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Tourism\TOURISM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Desktop\naac123\naac_data\Copy%20of%20Feedback%20Student-Infrastruc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Course</a:t>
            </a:r>
            <a:r>
              <a:rPr lang="en-US" baseline="0"/>
              <a:t> Curriculum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Sheet1!$A$315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Sheet1!$B$314:$H$314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Sheet1!$B$315:$H$315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Sheet1!$B$314:$H$314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Sheet1!$B$316:$H$316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Sheet1!$A$317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Sheet1!$B$314:$H$314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Sheet1!$B$317:$H$317</c:f>
              <c:numCache>
                <c:formatCode>0</c:formatCode>
                <c:ptCount val="7"/>
                <c:pt idx="0">
                  <c:v>0.34722222222222238</c:v>
                </c:pt>
                <c:pt idx="1">
                  <c:v>1.3888888888888899</c:v>
                </c:pt>
                <c:pt idx="2">
                  <c:v>1.3888888888888899</c:v>
                </c:pt>
                <c:pt idx="3">
                  <c:v>2.7777777777777826</c:v>
                </c:pt>
                <c:pt idx="4">
                  <c:v>0.34722222222222238</c:v>
                </c:pt>
                <c:pt idx="5">
                  <c:v>0.34722222222222238</c:v>
                </c:pt>
                <c:pt idx="6">
                  <c:v>1.3888888888888899</c:v>
                </c:pt>
              </c:numCache>
            </c:numRef>
          </c:val>
        </c:ser>
        <c:ser>
          <c:idx val="3"/>
          <c:order val="3"/>
          <c:tx>
            <c:strRef>
              <c:f>Sheet1!$A$318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Sheet1!$B$314:$H$314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Sheet1!$B$318:$H$318</c:f>
              <c:numCache>
                <c:formatCode>0</c:formatCode>
                <c:ptCount val="7"/>
                <c:pt idx="0">
                  <c:v>99.652777777777644</c:v>
                </c:pt>
                <c:pt idx="1">
                  <c:v>98.611111111111114</c:v>
                </c:pt>
                <c:pt idx="2">
                  <c:v>98.611111111111114</c:v>
                </c:pt>
                <c:pt idx="3">
                  <c:v>97.222222222222214</c:v>
                </c:pt>
                <c:pt idx="4">
                  <c:v>99.652777777777644</c:v>
                </c:pt>
                <c:pt idx="5">
                  <c:v>99.652777777777644</c:v>
                </c:pt>
                <c:pt idx="6">
                  <c:v>98.611111111111114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015744"/>
        <c:axId val="314017280"/>
        <c:axId val="0"/>
      </c:bar3DChart>
      <c:catAx>
        <c:axId val="314015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017280"/>
        <c:crosses val="autoZero"/>
        <c:auto val="1"/>
        <c:lblAlgn val="ctr"/>
        <c:lblOffset val="100"/>
        <c:noMultiLvlLbl val="0"/>
      </c:catAx>
      <c:valAx>
        <c:axId val="3140172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14015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Sheet1!$K$315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Sheet1!$L$314:$R$314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Sheet1!$L$315:$R$315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Sheet1!$K$316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Sheet1!$L$314:$R$314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Sheet1!$L$316:$R$316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Sheet1!$K$317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Sheet1!$L$314:$R$314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Sheet1!$L$317:$R$317</c:f>
              <c:numCache>
                <c:formatCode>0</c:formatCode>
                <c:ptCount val="7"/>
                <c:pt idx="0">
                  <c:v>0.46296296296296352</c:v>
                </c:pt>
                <c:pt idx="1">
                  <c:v>2.5462962962962972</c:v>
                </c:pt>
                <c:pt idx="2">
                  <c:v>0.92592592592592549</c:v>
                </c:pt>
                <c:pt idx="3">
                  <c:v>0.46296296296296352</c:v>
                </c:pt>
                <c:pt idx="4">
                  <c:v>0</c:v>
                </c:pt>
                <c:pt idx="5">
                  <c:v>1.1904761904761905</c:v>
                </c:pt>
                <c:pt idx="6">
                  <c:v>1.3888888888888899</c:v>
                </c:pt>
              </c:numCache>
            </c:numRef>
          </c:val>
        </c:ser>
        <c:ser>
          <c:idx val="3"/>
          <c:order val="3"/>
          <c:tx>
            <c:strRef>
              <c:f>Sheet1!$K$318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Sheet1!$L$314:$R$314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Sheet1!$L$318:$R$318</c:f>
              <c:numCache>
                <c:formatCode>0</c:formatCode>
                <c:ptCount val="7"/>
                <c:pt idx="0">
                  <c:v>99.537037037037038</c:v>
                </c:pt>
                <c:pt idx="1">
                  <c:v>97.453703703703709</c:v>
                </c:pt>
                <c:pt idx="2">
                  <c:v>99.074074074074048</c:v>
                </c:pt>
                <c:pt idx="3">
                  <c:v>99.537037037037038</c:v>
                </c:pt>
                <c:pt idx="4">
                  <c:v>100</c:v>
                </c:pt>
                <c:pt idx="5">
                  <c:v>98.80952380952381</c:v>
                </c:pt>
                <c:pt idx="6">
                  <c:v>98.611111111111114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194944"/>
        <c:axId val="314209024"/>
        <c:axId val="0"/>
      </c:bar3DChart>
      <c:catAx>
        <c:axId val="31419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209024"/>
        <c:crosses val="autoZero"/>
        <c:auto val="1"/>
        <c:lblAlgn val="ctr"/>
        <c:lblOffset val="100"/>
        <c:noMultiLvlLbl val="0"/>
      </c:catAx>
      <c:valAx>
        <c:axId val="3142090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14194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Sheet1!$Z$315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Sheet1!$AA$314:$AG$314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Sheet1!$AA$315:$AG$315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Sheet1!$Z$316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Sheet1!$AA$314:$AG$314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Sheet1!$AA$316:$AG$316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Sheet1!$Z$317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Sheet1!$AA$314:$AG$314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Sheet1!$AA$317:$AG$317</c:f>
              <c:numCache>
                <c:formatCode>0</c:formatCode>
                <c:ptCount val="7"/>
                <c:pt idx="0">
                  <c:v>0</c:v>
                </c:pt>
                <c:pt idx="1">
                  <c:v>0.69444444444444464</c:v>
                </c:pt>
                <c:pt idx="2">
                  <c:v>1.3888888888888899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Sheet1!$Z$318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Sheet1!$AA$314:$AG$314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Sheet1!$AA$318:$AG$318</c:f>
              <c:numCache>
                <c:formatCode>0</c:formatCode>
                <c:ptCount val="7"/>
                <c:pt idx="0">
                  <c:v>100</c:v>
                </c:pt>
                <c:pt idx="1">
                  <c:v>99.305555555555486</c:v>
                </c:pt>
                <c:pt idx="2">
                  <c:v>98.611111111111114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235520"/>
        <c:axId val="314384768"/>
        <c:axId val="0"/>
      </c:bar3DChart>
      <c:catAx>
        <c:axId val="314235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384768"/>
        <c:crosses val="autoZero"/>
        <c:auto val="1"/>
        <c:lblAlgn val="ctr"/>
        <c:lblOffset val="100"/>
        <c:noMultiLvlLbl val="0"/>
      </c:catAx>
      <c:valAx>
        <c:axId val="31438476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142355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Sheet1!$AJ$315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Sheet1!$AK$314:$AQ$314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Sheet1!$AK$315:$AQ$315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Sheet1!$AJ$316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Sheet1!$AK$314:$AQ$314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Sheet1!$AK$316:$AQ$316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Sheet1!$AJ$317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Sheet1!$AK$314:$AQ$314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Sheet1!$AK$317:$AQ$317</c:f>
              <c:numCache>
                <c:formatCode>0</c:formatCode>
                <c:ptCount val="7"/>
                <c:pt idx="0">
                  <c:v>0</c:v>
                </c:pt>
                <c:pt idx="1">
                  <c:v>0.92592592592592549</c:v>
                </c:pt>
                <c:pt idx="2">
                  <c:v>0.92592592592592549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Sheet1!$AJ$318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Sheet1!$AK$314:$AQ$314</c:f>
              <c:strCache>
                <c:ptCount val="7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</c:strCache>
            </c:strRef>
          </c:cat>
          <c:val>
            <c:numRef>
              <c:f>Sheet1!$AK$318:$AQ$318</c:f>
              <c:numCache>
                <c:formatCode>0</c:formatCode>
                <c:ptCount val="7"/>
                <c:pt idx="0">
                  <c:v>100</c:v>
                </c:pt>
                <c:pt idx="1">
                  <c:v>99.074074074074048</c:v>
                </c:pt>
                <c:pt idx="2">
                  <c:v>99.074074074074048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427648"/>
        <c:axId val="314437632"/>
        <c:axId val="0"/>
      </c:bar3DChart>
      <c:catAx>
        <c:axId val="31442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437632"/>
        <c:crosses val="autoZero"/>
        <c:auto val="1"/>
        <c:lblAlgn val="ctr"/>
        <c:lblOffset val="100"/>
        <c:noMultiLvlLbl val="0"/>
      </c:catAx>
      <c:valAx>
        <c:axId val="3144376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14427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criterion V(Infrastructure)</a:t>
            </a:r>
          </a:p>
        </c:rich>
      </c:tx>
      <c:layout>
        <c:manualLayout>
          <c:xMode val="edge"/>
          <c:yMode val="edge"/>
          <c:x val="0.1487806975613957"/>
          <c:y val="4.03361344537817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'Master of Tourism Adminstration'!$I$66</c:f>
              <c:strCache>
                <c:ptCount val="1"/>
                <c:pt idx="0">
                  <c:v>criterion V</c:v>
                </c:pt>
              </c:strCache>
            </c:strRef>
          </c:tx>
          <c:dLbls>
            <c:dLbl>
              <c:idx val="0"/>
              <c:layout>
                <c:manualLayout>
                  <c:x val="0.10287960575921162"/>
                  <c:y val="5.20039700919739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8320116640233273"/>
                  <c:y val="0.157917554423344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'Master of Tourism Adminstration'!$J$65:$M$65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'Master of Tourism Adminstration'!$J$66:$M$66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4027-EC16-4437-86F3-E5FDA65E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2018-06-22T07:30:00Z</dcterms:created>
  <dcterms:modified xsi:type="dcterms:W3CDTF">2018-10-16T13:05:00Z</dcterms:modified>
</cp:coreProperties>
</file>