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6A0599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360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5358DB" w:rsidRPr="00E601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0B177B" w:rsidRPr="00E601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360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E6011B">
        <w:rPr>
          <w:rFonts w:ascii="Times New Roman" w:hAnsi="Times New Roman" w:cs="Times New Roman"/>
          <w:b/>
          <w:sz w:val="24"/>
          <w:szCs w:val="24"/>
        </w:rPr>
        <w:t xml:space="preserve">M. Sc. </w:t>
      </w:r>
      <w:r w:rsidR="00E6011B" w:rsidRPr="00E6011B">
        <w:rPr>
          <w:rFonts w:ascii="Times New Roman" w:hAnsi="Times New Roman" w:cs="Times New Roman"/>
          <w:b/>
          <w:sz w:val="24"/>
          <w:szCs w:val="24"/>
        </w:rPr>
        <w:t>Department of Statistics</w:t>
      </w:r>
      <w:r w:rsidR="00360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 w:rsidRPr="006A0599">
        <w:rPr>
          <w:rFonts w:ascii="Times New Roman" w:hAnsi="Times New Roman" w:cs="Times New Roman"/>
          <w:b/>
          <w:sz w:val="24"/>
          <w:szCs w:val="24"/>
        </w:rPr>
        <w:t>201</w:t>
      </w:r>
      <w:r w:rsidR="003605DC" w:rsidRPr="006A0599">
        <w:rPr>
          <w:rFonts w:ascii="Times New Roman" w:hAnsi="Times New Roman" w:cs="Times New Roman"/>
          <w:b/>
          <w:sz w:val="24"/>
          <w:szCs w:val="24"/>
        </w:rPr>
        <w:t>6</w:t>
      </w:r>
      <w:r w:rsidR="005358DB" w:rsidRPr="006A0599">
        <w:rPr>
          <w:rFonts w:ascii="Times New Roman" w:hAnsi="Times New Roman" w:cs="Times New Roman"/>
          <w:b/>
          <w:sz w:val="24"/>
          <w:szCs w:val="24"/>
        </w:rPr>
        <w:t>-201</w:t>
      </w:r>
      <w:r w:rsidR="003605DC" w:rsidRPr="006A0599">
        <w:rPr>
          <w:rFonts w:ascii="Times New Roman" w:hAnsi="Times New Roman" w:cs="Times New Roman"/>
          <w:b/>
          <w:sz w:val="24"/>
          <w:szCs w:val="24"/>
        </w:rPr>
        <w:t>7</w:t>
      </w:r>
    </w:p>
    <w:p w:rsidR="00F80E45" w:rsidRPr="00636C35" w:rsidRDefault="00F80E45" w:rsidP="003605DC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3605DC">
        <w:rPr>
          <w:rFonts w:ascii="Times New Roman" w:hAnsi="Times New Roman" w:cs="Times New Roman"/>
          <w:sz w:val="24"/>
          <w:szCs w:val="24"/>
        </w:rPr>
        <w:t xml:space="preserve"> 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3605DC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E6011B" w:rsidRPr="00AC0CEA" w:rsidTr="00BD6FB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E6011B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6011B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E6011B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E6011B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E6011B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E6011B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E6011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6011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6011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E6011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E6011B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E6011B" w:rsidRDefault="00E6011B" w:rsidP="00E60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E6011B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011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72150" cy="2743200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  <w:r w:rsidR="006A0599">
        <w:rPr>
          <w:b/>
          <w:noProof/>
          <w:sz w:val="24"/>
          <w:szCs w:val="24"/>
          <w:lang w:val="en-IN" w:eastAsia="en-IN"/>
        </w:rPr>
        <w:t>Design and Analysis of Experiments -I</w:t>
      </w:r>
    </w:p>
    <w:p w:rsidR="00B45248" w:rsidRPr="00236F1C" w:rsidRDefault="00E6011B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E6011B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E6011B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E6011B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002064">
        <w:rPr>
          <w:b/>
          <w:noProof/>
          <w:sz w:val="24"/>
          <w:szCs w:val="24"/>
          <w:lang w:val="en-IN" w:eastAsia="en-IN"/>
        </w:rPr>
        <w:t>Stochastic Processes</w:t>
      </w:r>
    </w:p>
    <w:p w:rsidR="000C6E53" w:rsidRPr="00236F1C" w:rsidRDefault="00E6011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E6011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E6011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E6011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002064">
        <w:rPr>
          <w:b/>
          <w:noProof/>
          <w:sz w:val="24"/>
          <w:szCs w:val="24"/>
          <w:lang w:val="en-IN" w:eastAsia="en-IN"/>
        </w:rPr>
        <w:t>Sampling Theory and Methods</w:t>
      </w:r>
    </w:p>
    <w:p w:rsidR="000C6E53" w:rsidRPr="00236F1C" w:rsidRDefault="00E6011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E6011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E6011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E6011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002064">
        <w:rPr>
          <w:b/>
          <w:noProof/>
          <w:sz w:val="24"/>
          <w:szCs w:val="24"/>
          <w:lang w:val="en-IN" w:eastAsia="en-IN"/>
        </w:rPr>
        <w:t>Regression Analysis</w:t>
      </w:r>
    </w:p>
    <w:p w:rsidR="000C6E53" w:rsidRPr="00236F1C" w:rsidRDefault="00E6011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E6011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E6011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E6011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002064">
        <w:rPr>
          <w:b/>
          <w:noProof/>
          <w:sz w:val="24"/>
          <w:szCs w:val="24"/>
          <w:lang w:val="en-IN" w:eastAsia="en-IN"/>
        </w:rPr>
        <w:t>Statistical Inference- II</w:t>
      </w:r>
    </w:p>
    <w:p w:rsidR="000C6E53" w:rsidRPr="00236F1C" w:rsidRDefault="00E6011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E6011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E6011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E6011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6A0599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6A0599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teacher</w:t>
      </w:r>
      <w:r w:rsidR="003605DC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605DC">
        <w:rPr>
          <w:rFonts w:ascii="Times New Roman" w:hAnsi="Times New Roman" w:cs="Times New Roman"/>
          <w:b/>
          <w:sz w:val="24"/>
          <w:szCs w:val="24"/>
        </w:rPr>
        <w:t xml:space="preserve"> performance </w:t>
      </w:r>
      <w:r w:rsidRPr="00636C35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BD6FB8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BD6FB8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BD6FB8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BD6FB8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BD6FB8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D6FB8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BD6FB8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BD6FB8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BD6FB8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BD6FB8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D6FB8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D6FB8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D6FB8" w:rsidRDefault="00BD6FB8" w:rsidP="00BD6F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BD6FB8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B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29350" cy="2743200"/>
            <wp:effectExtent l="19050" t="0" r="1905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02064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Teacher</w:t>
      </w:r>
      <w:r w:rsidR="000B177B">
        <w:rPr>
          <w:b/>
          <w:noProof/>
          <w:sz w:val="24"/>
          <w:szCs w:val="24"/>
          <w:lang w:val="en-IN" w:eastAsia="en-IN"/>
        </w:rPr>
        <w:t xml:space="preserve"> 1: </w:t>
      </w:r>
      <w:r>
        <w:rPr>
          <w:b/>
          <w:noProof/>
          <w:sz w:val="24"/>
          <w:szCs w:val="24"/>
          <w:lang w:val="en-IN" w:eastAsia="en-IN"/>
        </w:rPr>
        <w:t>Dr. S. L. Sananse</w:t>
      </w:r>
    </w:p>
    <w:p w:rsidR="005D7678" w:rsidRPr="00236F1C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020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020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020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002064">
        <w:rPr>
          <w:b/>
          <w:noProof/>
          <w:sz w:val="24"/>
          <w:szCs w:val="24"/>
          <w:lang w:val="en-IN" w:eastAsia="en-IN"/>
        </w:rPr>
        <w:t>Dr. S. V. Kawale</w:t>
      </w:r>
    </w:p>
    <w:p w:rsidR="005D7678" w:rsidRPr="00236F1C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0206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020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020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020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002064">
        <w:rPr>
          <w:b/>
          <w:noProof/>
          <w:sz w:val="24"/>
          <w:szCs w:val="24"/>
          <w:lang w:val="en-IN" w:eastAsia="en-IN"/>
        </w:rPr>
        <w:t>Dr. A. Y. Tayade</w:t>
      </w:r>
    </w:p>
    <w:p w:rsidR="005D7678" w:rsidRPr="00236F1C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0206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020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0206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002064">
        <w:rPr>
          <w:b/>
          <w:noProof/>
          <w:sz w:val="24"/>
          <w:szCs w:val="24"/>
          <w:lang w:val="en-IN" w:eastAsia="en-IN"/>
        </w:rPr>
        <w:t>Dr. O.S. Jadhav</w:t>
      </w:r>
    </w:p>
    <w:p w:rsidR="005D7678" w:rsidRPr="00236F1C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020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0206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020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0206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="00002064">
        <w:rPr>
          <w:b/>
          <w:noProof/>
          <w:sz w:val="24"/>
          <w:szCs w:val="24"/>
          <w:lang w:val="en-IN" w:eastAsia="en-IN"/>
        </w:rPr>
        <w:t>Dr. C. D. Sonar</w:t>
      </w:r>
    </w:p>
    <w:p w:rsidR="005D7678" w:rsidRPr="00236F1C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0206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020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0206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E481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0206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students aboutProjects/Seminars/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850291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85029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85029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5029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85029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85029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850291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85029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5029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85029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85029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85029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50291" w:rsidRDefault="00850291" w:rsidP="008502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850291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850291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857875" cy="2743200"/>
            <wp:effectExtent l="19050" t="0" r="9525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F21F0">
        <w:rPr>
          <w:rFonts w:ascii="Times New Roman" w:hAnsi="Times New Roman" w:cs="Times New Roman"/>
          <w:sz w:val="24"/>
          <w:szCs w:val="24"/>
        </w:rPr>
        <w:t xml:space="preserve"> o</w:t>
      </w:r>
      <w:r w:rsidR="005D7678">
        <w:rPr>
          <w:rFonts w:ascii="Times New Roman" w:hAnsi="Times New Roman" w:cs="Times New Roman"/>
          <w:sz w:val="24"/>
          <w:szCs w:val="24"/>
        </w:rPr>
        <w:t>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502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052465">
        <w:rPr>
          <w:rFonts w:ascii="Times New Roman" w:hAnsi="Times New Roman" w:cs="Times New Roman"/>
          <w:sz w:val="24"/>
          <w:szCs w:val="24"/>
        </w:rPr>
        <w:t xml:space="preserve">Frequency and </w:t>
      </w:r>
      <w:r w:rsidRPr="00C114ED">
        <w:rPr>
          <w:rFonts w:ascii="Times New Roman" w:hAnsi="Times New Roman" w:cs="Times New Roman"/>
          <w:sz w:val="24"/>
          <w:szCs w:val="24"/>
        </w:rPr>
        <w:t>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3339" w:type="dxa"/>
        <w:jc w:val="center"/>
        <w:tblLook w:val="04A0"/>
      </w:tblPr>
      <w:tblGrid>
        <w:gridCol w:w="960"/>
        <w:gridCol w:w="1153"/>
        <w:gridCol w:w="1226"/>
      </w:tblGrid>
      <w:tr w:rsidR="00052465" w:rsidRPr="00AC0CEA" w:rsidTr="00052465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052465" w:rsidRPr="00AC0CEA" w:rsidTr="0005246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26" w:type="dxa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052465" w:rsidRPr="00AC0CEA" w:rsidTr="0005246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26" w:type="dxa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52465" w:rsidRPr="00AC0CEA" w:rsidTr="0005246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26" w:type="dxa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052465" w:rsidRPr="00AC0CEA" w:rsidTr="0005246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26" w:type="dxa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52465" w:rsidRPr="00AC0CEA" w:rsidTr="0005246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226" w:type="dxa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052465" w:rsidRDefault="00052465" w:rsidP="00052465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465" w:rsidRDefault="00052465" w:rsidP="00052465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10175" cy="22574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52465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</w:t>
      </w:r>
      <w:r w:rsidR="000B177B">
        <w:rPr>
          <w:b/>
          <w:noProof/>
          <w:sz w:val="24"/>
          <w:szCs w:val="24"/>
          <w:lang w:val="en-IN" w:eastAsia="en-IN"/>
        </w:rPr>
        <w:t xml:space="preserve">: </w:t>
      </w:r>
    </w:p>
    <w:p w:rsidR="005D7678" w:rsidRPr="00236F1C" w:rsidRDefault="0005246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05246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05246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F2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subject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05246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>
        <w:rPr>
          <w:rFonts w:ascii="Times New Roman" w:hAnsi="Times New Roman" w:cs="Times New Roman"/>
          <w:sz w:val="24"/>
          <w:szCs w:val="24"/>
        </w:rPr>
        <w:t xml:space="preserve"> subject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  <w:r w:rsidR="00BF21F0">
        <w:rPr>
          <w:rFonts w:ascii="Times New Roman" w:hAnsi="Times New Roman" w:cs="Times New Roman"/>
          <w:b/>
          <w:sz w:val="24"/>
          <w:szCs w:val="24"/>
        </w:rPr>
        <w:t>: Infrastructure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CE3298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CE3298" w:rsidRPr="00636C35" w:rsidRDefault="00CE3298" w:rsidP="00CE329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CE3298" w:rsidRPr="00636C35" w:rsidRDefault="00CE3298" w:rsidP="00CE3298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CE3298" w:rsidRPr="00636C35" w:rsidRDefault="00CE3298" w:rsidP="00CE3298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CE3298" w:rsidRDefault="00CE3298" w:rsidP="00CE3298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CE3298" w:rsidRPr="003F5935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CE3298" w:rsidRPr="00636C35" w:rsidTr="00BD6FB8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CE3298" w:rsidRPr="00A733B7" w:rsidRDefault="00CE3298" w:rsidP="00BD6F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BD6F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BD6F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Percentage</w:t>
            </w:r>
          </w:p>
        </w:tc>
      </w:tr>
      <w:tr w:rsidR="00052465" w:rsidRPr="00636C35" w:rsidTr="00BD6FB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52465" w:rsidRPr="00636C35" w:rsidTr="00BD6FB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52465" w:rsidRPr="00636C35" w:rsidTr="00BD6FB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052465" w:rsidRPr="00636C35" w:rsidTr="00BD6FB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52465" w:rsidRPr="00636C35" w:rsidTr="00BD6FB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65" w:rsidRDefault="00052465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CE3298" w:rsidRDefault="00052465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00400" cy="22574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2465" w:rsidRDefault="00052465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E02E61" w:rsidRDefault="00A17503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CE3298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052465" w:rsidRPr="00052465">
        <w:rPr>
          <w:rFonts w:ascii="Times New Roman" w:hAnsi="Times New Roman" w:cs="Times New Roman"/>
          <w:sz w:val="24"/>
          <w:szCs w:val="24"/>
        </w:rPr>
        <w:t>Statistics</w:t>
      </w:r>
      <w:r w:rsidR="00430E36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E02E61">
        <w:rPr>
          <w:rFonts w:ascii="Times New Roman" w:hAnsi="Times New Roman" w:cs="Times New Roman"/>
          <w:sz w:val="24"/>
          <w:szCs w:val="24"/>
        </w:rPr>
        <w:t>as Outstanding</w:t>
      </w:r>
    </w:p>
    <w:p w:rsidR="00CE3298" w:rsidRPr="00705A57" w:rsidRDefault="00A17503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</w:t>
      </w:r>
      <w:r w:rsidR="00CE3298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052465" w:rsidRPr="00052465">
        <w:rPr>
          <w:rFonts w:ascii="Times New Roman" w:hAnsi="Times New Roman" w:cs="Times New Roman"/>
          <w:sz w:val="24"/>
          <w:szCs w:val="24"/>
        </w:rPr>
        <w:t>Statistics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CE3298" w:rsidRDefault="00A17503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052465" w:rsidRPr="00052465">
        <w:rPr>
          <w:rFonts w:ascii="Times New Roman" w:hAnsi="Times New Roman" w:cs="Times New Roman"/>
          <w:sz w:val="24"/>
          <w:szCs w:val="24"/>
        </w:rPr>
        <w:t>Statistics</w:t>
      </w:r>
      <w:r w:rsidR="00CE3298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CE3298" w:rsidRDefault="00A17503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052465" w:rsidRPr="00052465">
        <w:rPr>
          <w:rFonts w:ascii="Times New Roman" w:hAnsi="Times New Roman" w:cs="Times New Roman"/>
          <w:sz w:val="24"/>
          <w:szCs w:val="24"/>
        </w:rPr>
        <w:t>Statistics</w:t>
      </w:r>
      <w:r w:rsidR="00CE3298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052465" w:rsidRDefault="00052465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Style w:val="TableGridLight1"/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A17503">
        <w:trPr>
          <w:trHeight w:val="764"/>
        </w:trPr>
        <w:tc>
          <w:tcPr>
            <w:tcW w:w="1931" w:type="dxa"/>
            <w:shd w:val="clear" w:color="auto" w:fill="F79646" w:themeFill="accent6"/>
            <w:noWrap/>
            <w:vAlign w:val="center"/>
            <w:hideMark/>
          </w:tcPr>
          <w:p w:rsidR="00B72D75" w:rsidRDefault="00B72D75" w:rsidP="00A175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shd w:val="clear" w:color="auto" w:fill="F79646" w:themeFill="accent6"/>
            <w:vAlign w:val="center"/>
            <w:hideMark/>
          </w:tcPr>
          <w:p w:rsidR="00B72D75" w:rsidRDefault="00B72D75" w:rsidP="00A175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A17503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shd w:val="clear" w:color="auto" w:fill="F79646" w:themeFill="accent6"/>
            <w:vAlign w:val="center"/>
            <w:hideMark/>
          </w:tcPr>
          <w:p w:rsidR="00B72D75" w:rsidRDefault="00B72D75" w:rsidP="00A175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A17503">
              <w:rPr>
                <w:color w:val="000000"/>
                <w:lang w:val="en-IN"/>
              </w:rPr>
              <w:t xml:space="preserve"> (%)</w:t>
            </w:r>
          </w:p>
        </w:tc>
      </w:tr>
      <w:tr w:rsidR="00A17503" w:rsidRPr="00636C35" w:rsidTr="004C27CC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A17503" w:rsidRDefault="00A17503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noWrap/>
            <w:vAlign w:val="bottom"/>
          </w:tcPr>
          <w:p w:rsidR="00A17503" w:rsidRDefault="00A17503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noWrap/>
            <w:vAlign w:val="bottom"/>
          </w:tcPr>
          <w:p w:rsidR="00A17503" w:rsidRDefault="00A17503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17503" w:rsidRPr="00636C35" w:rsidTr="004C27CC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A17503" w:rsidRDefault="00A17503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noWrap/>
            <w:vAlign w:val="bottom"/>
          </w:tcPr>
          <w:p w:rsidR="00A17503" w:rsidRDefault="00A17503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noWrap/>
            <w:vAlign w:val="bottom"/>
          </w:tcPr>
          <w:p w:rsidR="00A17503" w:rsidRDefault="00A17503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17503" w:rsidRPr="00636C35" w:rsidTr="004C27CC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A17503" w:rsidRDefault="00A17503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noWrap/>
            <w:vAlign w:val="bottom"/>
          </w:tcPr>
          <w:p w:rsidR="00A17503" w:rsidRDefault="00A17503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330" w:type="dxa"/>
            <w:noWrap/>
            <w:vAlign w:val="bottom"/>
          </w:tcPr>
          <w:p w:rsidR="00A17503" w:rsidRDefault="00A17503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A17503" w:rsidRPr="00636C35" w:rsidTr="004C27CC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A17503" w:rsidRDefault="00A17503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noWrap/>
            <w:vAlign w:val="bottom"/>
          </w:tcPr>
          <w:p w:rsidR="00A17503" w:rsidRDefault="00A17503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noWrap/>
            <w:vAlign w:val="bottom"/>
          </w:tcPr>
          <w:p w:rsidR="00A17503" w:rsidRDefault="00A17503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17503" w:rsidRPr="00636C35" w:rsidTr="004C27CC">
        <w:trPr>
          <w:trHeight w:val="450"/>
        </w:trPr>
        <w:tc>
          <w:tcPr>
            <w:tcW w:w="1931" w:type="dxa"/>
            <w:noWrap/>
            <w:vAlign w:val="center"/>
          </w:tcPr>
          <w:p w:rsidR="00A17503" w:rsidRDefault="00A17503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noWrap/>
            <w:vAlign w:val="bottom"/>
          </w:tcPr>
          <w:p w:rsidR="00A17503" w:rsidRDefault="00A17503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noWrap/>
            <w:vAlign w:val="bottom"/>
          </w:tcPr>
          <w:p w:rsidR="00A17503" w:rsidRDefault="00A17503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785B5D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5527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785B5D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785B5D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785B5D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785B5D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D27376" w:rsidRPr="00785B5D" w:rsidRDefault="00785B5D" w:rsidP="00785B5D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  <w:bookmarkStart w:id="0" w:name="_GoBack"/>
      <w:bookmarkEnd w:id="0"/>
    </w:p>
    <w:sectPr w:rsidR="00D27376" w:rsidRPr="00785B5D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F8" w:rsidRDefault="00304BF8" w:rsidP="009569D7">
      <w:pPr>
        <w:spacing w:after="0" w:line="240" w:lineRule="auto"/>
      </w:pPr>
      <w:r>
        <w:separator/>
      </w:r>
    </w:p>
  </w:endnote>
  <w:endnote w:type="continuationSeparator" w:id="1">
    <w:p w:rsidR="00304BF8" w:rsidRDefault="00304BF8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F8" w:rsidRDefault="00304BF8" w:rsidP="009569D7">
      <w:pPr>
        <w:spacing w:after="0" w:line="240" w:lineRule="auto"/>
      </w:pPr>
      <w:r>
        <w:separator/>
      </w:r>
    </w:p>
  </w:footnote>
  <w:footnote w:type="continuationSeparator" w:id="1">
    <w:p w:rsidR="00304BF8" w:rsidRDefault="00304BF8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2064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2465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1713D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4BF8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5DC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0E36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57F6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0599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5B5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291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503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24E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6FB8"/>
    <w:rsid w:val="00BD78FC"/>
    <w:rsid w:val="00BD7FA4"/>
    <w:rsid w:val="00BE12A4"/>
    <w:rsid w:val="00BE1560"/>
    <w:rsid w:val="00BE29DD"/>
    <w:rsid w:val="00BE7FB1"/>
    <w:rsid w:val="00BF07B5"/>
    <w:rsid w:val="00BF21F0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8EA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4816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011B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C54E0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TableNormal"/>
    <w:uiPriority w:val="51"/>
    <w:rsid w:val="00A1750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AppData\Local\Temp\WPDNSE\%7b00000008-0001-0001-0000-000000000000%7d\Statistic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Copy%20of%20Statistic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Copy%20of%20Statistic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Stastics\Copy%20of%20Statistic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Stastics\Copy%20of%20Statistic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Stastics\Copy%20of%20Statistic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Course Curriculum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Sheet1!$A$14</c:f>
              <c:strCache>
                <c:ptCount val="1"/>
                <c:pt idx="0">
                  <c:v>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Sheet1!$B$13:$F$13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Sheet1!$B$14:$F$14</c:f>
              <c:numCache>
                <c:formatCode>0</c:formatCode>
                <c:ptCount val="5"/>
                <c:pt idx="0">
                  <c:v>5.4945054945054945</c:v>
                </c:pt>
                <c:pt idx="1">
                  <c:v>18.848167539267006</c:v>
                </c:pt>
                <c:pt idx="2">
                  <c:v>30.373831775700932</c:v>
                </c:pt>
                <c:pt idx="3">
                  <c:v>28.099173553719009</c:v>
                </c:pt>
                <c:pt idx="4">
                  <c:v>13.5</c:v>
                </c:pt>
              </c:numCache>
            </c:numRef>
          </c:val>
        </c:ser>
        <c:ser>
          <c:idx val="1"/>
          <c:order val="1"/>
          <c:tx>
            <c:strRef>
              <c:f>Sheet1!$A$15</c:f>
              <c:strCache>
                <c:ptCount val="1"/>
                <c:pt idx="0">
                  <c:v>G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Sheet1!$B$13:$F$13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Sheet1!$B$15:$F$15</c:f>
              <c:numCache>
                <c:formatCode>0</c:formatCode>
                <c:ptCount val="5"/>
                <c:pt idx="0">
                  <c:v>34.615384615384585</c:v>
                </c:pt>
                <c:pt idx="1">
                  <c:v>35.602094240837715</c:v>
                </c:pt>
                <c:pt idx="2">
                  <c:v>39.25233644859815</c:v>
                </c:pt>
                <c:pt idx="3">
                  <c:v>35.537190082644607</c:v>
                </c:pt>
                <c:pt idx="4">
                  <c:v>26.5</c:v>
                </c:pt>
              </c:numCache>
            </c:numRef>
          </c:val>
        </c:ser>
        <c:ser>
          <c:idx val="2"/>
          <c:order val="2"/>
          <c:tx>
            <c:strRef>
              <c:f>Sheet1!$A$16</c:f>
              <c:strCache>
                <c:ptCount val="1"/>
                <c:pt idx="0">
                  <c:v>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Sheet1!$B$13:$F$13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Sheet1!$B$16:$F$16</c:f>
              <c:numCache>
                <c:formatCode>0</c:formatCode>
                <c:ptCount val="5"/>
                <c:pt idx="0">
                  <c:v>40.659340659340614</c:v>
                </c:pt>
                <c:pt idx="1">
                  <c:v>33.507853403141333</c:v>
                </c:pt>
                <c:pt idx="2">
                  <c:v>25.233644859813083</c:v>
                </c:pt>
                <c:pt idx="3">
                  <c:v>28.925619834710712</c:v>
                </c:pt>
                <c:pt idx="4">
                  <c:v>40.5</c:v>
                </c:pt>
              </c:numCache>
            </c:numRef>
          </c:val>
        </c:ser>
        <c:ser>
          <c:idx val="3"/>
          <c:order val="3"/>
          <c:tx>
            <c:strRef>
              <c:f>Sheet1!$A$17</c:f>
              <c:strCache>
                <c:ptCount val="1"/>
                <c:pt idx="0">
                  <c:v>O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Sheet1!$B$13:$F$13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Sheet1!$B$17:$F$17</c:f>
              <c:numCache>
                <c:formatCode>0</c:formatCode>
                <c:ptCount val="5"/>
                <c:pt idx="0">
                  <c:v>19.230769230769209</c:v>
                </c:pt>
                <c:pt idx="1">
                  <c:v>12.041884816753926</c:v>
                </c:pt>
                <c:pt idx="2">
                  <c:v>5.1401869158878473</c:v>
                </c:pt>
                <c:pt idx="3">
                  <c:v>7.4380165289256173</c:v>
                </c:pt>
                <c:pt idx="4">
                  <c:v>19.5</c:v>
                </c:pt>
              </c:numCache>
            </c:numRef>
          </c:val>
        </c:ser>
        <c:dLbls>
          <c:showVal val="1"/>
        </c:dLbls>
        <c:shape val="box"/>
        <c:axId val="105610624"/>
        <c:axId val="105645184"/>
        <c:axId val="0"/>
      </c:bar3DChart>
      <c:catAx>
        <c:axId val="105610624"/>
        <c:scaling>
          <c:orientation val="minMax"/>
        </c:scaling>
        <c:axPos val="b"/>
        <c:numFmt formatCode="General" sourceLinked="0"/>
        <c:majorTickMark val="none"/>
        <c:tickLblPos val="nextTo"/>
        <c:crossAx val="105645184"/>
        <c:crosses val="autoZero"/>
        <c:auto val="1"/>
        <c:lblAlgn val="ctr"/>
        <c:lblOffset val="100"/>
      </c:catAx>
      <c:valAx>
        <c:axId val="105645184"/>
        <c:scaling>
          <c:orientation val="minMax"/>
        </c:scaling>
        <c:delete val="1"/>
        <c:axPos val="l"/>
        <c:numFmt formatCode="0" sourceLinked="1"/>
        <c:tickLblPos val="nextTo"/>
        <c:crossAx val="105610624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Teacher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Sheet1!$H$14</c:f>
              <c:strCache>
                <c:ptCount val="1"/>
                <c:pt idx="0">
                  <c:v>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Sheet1!$I$13:$M$13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Sheet1!$I$14:$M$14</c:f>
              <c:numCache>
                <c:formatCode>0</c:formatCode>
                <c:ptCount val="5"/>
                <c:pt idx="0">
                  <c:v>9.44055944055944</c:v>
                </c:pt>
                <c:pt idx="1">
                  <c:v>16.287878787878803</c:v>
                </c:pt>
                <c:pt idx="2">
                  <c:v>34.909090909090914</c:v>
                </c:pt>
                <c:pt idx="3">
                  <c:v>28.08988764044944</c:v>
                </c:pt>
                <c:pt idx="4">
                  <c:v>8.677685950413224</c:v>
                </c:pt>
              </c:numCache>
            </c:numRef>
          </c:val>
        </c:ser>
        <c:ser>
          <c:idx val="1"/>
          <c:order val="1"/>
          <c:tx>
            <c:strRef>
              <c:f>Sheet1!$H$15</c:f>
              <c:strCache>
                <c:ptCount val="1"/>
                <c:pt idx="0">
                  <c:v>G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Sheet1!$I$13:$M$13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Sheet1!$I$15:$M$15</c:f>
              <c:numCache>
                <c:formatCode>0</c:formatCode>
                <c:ptCount val="5"/>
                <c:pt idx="0">
                  <c:v>30.419580419580431</c:v>
                </c:pt>
                <c:pt idx="1">
                  <c:v>31.818181818181817</c:v>
                </c:pt>
                <c:pt idx="2">
                  <c:v>33.454545454545418</c:v>
                </c:pt>
                <c:pt idx="3">
                  <c:v>38.576779026217224</c:v>
                </c:pt>
                <c:pt idx="4">
                  <c:v>21.487603305785104</c:v>
                </c:pt>
              </c:numCache>
            </c:numRef>
          </c:val>
        </c:ser>
        <c:ser>
          <c:idx val="2"/>
          <c:order val="2"/>
          <c:tx>
            <c:strRef>
              <c:f>Sheet1!$H$16</c:f>
              <c:strCache>
                <c:ptCount val="1"/>
                <c:pt idx="0">
                  <c:v>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Sheet1!$I$13:$M$13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Sheet1!$I$16:$M$16</c:f>
              <c:numCache>
                <c:formatCode>0</c:formatCode>
                <c:ptCount val="5"/>
                <c:pt idx="0">
                  <c:v>36.363636363636324</c:v>
                </c:pt>
                <c:pt idx="1">
                  <c:v>31.060606060606062</c:v>
                </c:pt>
                <c:pt idx="2">
                  <c:v>21.818181818181817</c:v>
                </c:pt>
                <c:pt idx="3">
                  <c:v>21.722846441947556</c:v>
                </c:pt>
                <c:pt idx="4">
                  <c:v>36.363636363636324</c:v>
                </c:pt>
              </c:numCache>
            </c:numRef>
          </c:val>
        </c:ser>
        <c:ser>
          <c:idx val="3"/>
          <c:order val="3"/>
          <c:tx>
            <c:strRef>
              <c:f>Sheet1!$H$17</c:f>
              <c:strCache>
                <c:ptCount val="1"/>
                <c:pt idx="0">
                  <c:v>O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Sheet1!$I$13:$M$13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Sheet1!$I$17:$M$17</c:f>
              <c:numCache>
                <c:formatCode>0</c:formatCode>
                <c:ptCount val="5"/>
                <c:pt idx="0">
                  <c:v>23.776223776223766</c:v>
                </c:pt>
                <c:pt idx="1">
                  <c:v>20.833333333333318</c:v>
                </c:pt>
                <c:pt idx="2">
                  <c:v>9.8181818181818201</c:v>
                </c:pt>
                <c:pt idx="3">
                  <c:v>11.610486891385776</c:v>
                </c:pt>
                <c:pt idx="4">
                  <c:v>33.471074380165291</c:v>
                </c:pt>
              </c:numCache>
            </c:numRef>
          </c:val>
        </c:ser>
        <c:dLbls>
          <c:showVal val="1"/>
        </c:dLbls>
        <c:shape val="box"/>
        <c:axId val="105817984"/>
        <c:axId val="105819520"/>
        <c:axId val="0"/>
      </c:bar3DChart>
      <c:catAx>
        <c:axId val="105817984"/>
        <c:scaling>
          <c:orientation val="minMax"/>
        </c:scaling>
        <c:axPos val="b"/>
        <c:numFmt formatCode="General" sourceLinked="0"/>
        <c:majorTickMark val="none"/>
        <c:tickLblPos val="nextTo"/>
        <c:crossAx val="105819520"/>
        <c:crosses val="autoZero"/>
        <c:auto val="1"/>
        <c:lblAlgn val="ctr"/>
        <c:lblOffset val="100"/>
      </c:catAx>
      <c:valAx>
        <c:axId val="105819520"/>
        <c:scaling>
          <c:orientation val="minMax"/>
        </c:scaling>
        <c:delete val="1"/>
        <c:axPos val="l"/>
        <c:numFmt formatCode="0" sourceLinked="1"/>
        <c:tickLblPos val="nextTo"/>
        <c:crossAx val="105817984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Project/Seminar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Sheet1!$O$14</c:f>
              <c:strCache>
                <c:ptCount val="1"/>
                <c:pt idx="0">
                  <c:v>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Sheet1!$P$13:$T$13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Sheet1!$P$14:$T$14</c:f>
              <c:numCache>
                <c:formatCode>0</c:formatCode>
                <c:ptCount val="5"/>
                <c:pt idx="0">
                  <c:v>27.058823529411764</c:v>
                </c:pt>
                <c:pt idx="1">
                  <c:v>18.60465116279072</c:v>
                </c:pt>
                <c:pt idx="2">
                  <c:v>30.120481927710845</c:v>
                </c:pt>
                <c:pt idx="3">
                  <c:v>31.182795698924721</c:v>
                </c:pt>
                <c:pt idx="4">
                  <c:v>20.73170731707317</c:v>
                </c:pt>
              </c:numCache>
            </c:numRef>
          </c:val>
        </c:ser>
        <c:ser>
          <c:idx val="1"/>
          <c:order val="1"/>
          <c:tx>
            <c:strRef>
              <c:f>Sheet1!$O$15</c:f>
              <c:strCache>
                <c:ptCount val="1"/>
                <c:pt idx="0">
                  <c:v>G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Sheet1!$P$13:$T$13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Sheet1!$P$15:$T$15</c:f>
              <c:numCache>
                <c:formatCode>0</c:formatCode>
                <c:ptCount val="5"/>
                <c:pt idx="0">
                  <c:v>38.823529411764689</c:v>
                </c:pt>
                <c:pt idx="1">
                  <c:v>39.534883720930225</c:v>
                </c:pt>
                <c:pt idx="2">
                  <c:v>37.34939759036142</c:v>
                </c:pt>
                <c:pt idx="3">
                  <c:v>35.483870967741915</c:v>
                </c:pt>
                <c:pt idx="4">
                  <c:v>29.268292682926806</c:v>
                </c:pt>
              </c:numCache>
            </c:numRef>
          </c:val>
        </c:ser>
        <c:ser>
          <c:idx val="2"/>
          <c:order val="2"/>
          <c:tx>
            <c:strRef>
              <c:f>Sheet1!$O$16</c:f>
              <c:strCache>
                <c:ptCount val="1"/>
                <c:pt idx="0">
                  <c:v>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Sheet1!$P$13:$T$13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Sheet1!$P$16:$T$16</c:f>
              <c:numCache>
                <c:formatCode>0</c:formatCode>
                <c:ptCount val="5"/>
                <c:pt idx="0">
                  <c:v>29.411764705882355</c:v>
                </c:pt>
                <c:pt idx="1">
                  <c:v>26.744186046511626</c:v>
                </c:pt>
                <c:pt idx="2">
                  <c:v>19.277108433734931</c:v>
                </c:pt>
                <c:pt idx="3">
                  <c:v>24.731182795698931</c:v>
                </c:pt>
                <c:pt idx="4">
                  <c:v>31.707317073170717</c:v>
                </c:pt>
              </c:numCache>
            </c:numRef>
          </c:val>
        </c:ser>
        <c:ser>
          <c:idx val="3"/>
          <c:order val="3"/>
          <c:tx>
            <c:strRef>
              <c:f>Sheet1!$O$17</c:f>
              <c:strCache>
                <c:ptCount val="1"/>
                <c:pt idx="0">
                  <c:v>O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Sheet1!$P$13:$T$13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Sheet1!$P$17:$T$17</c:f>
              <c:numCache>
                <c:formatCode>0</c:formatCode>
                <c:ptCount val="5"/>
                <c:pt idx="0">
                  <c:v>4.7058823529411784</c:v>
                </c:pt>
                <c:pt idx="1">
                  <c:v>15.11627906976744</c:v>
                </c:pt>
                <c:pt idx="2">
                  <c:v>13.253012048192771</c:v>
                </c:pt>
                <c:pt idx="3">
                  <c:v>8.6021505376344098</c:v>
                </c:pt>
                <c:pt idx="4">
                  <c:v>18.292682926829251</c:v>
                </c:pt>
              </c:numCache>
            </c:numRef>
          </c:val>
        </c:ser>
        <c:dLbls>
          <c:showVal val="1"/>
        </c:dLbls>
        <c:shape val="box"/>
        <c:axId val="127813120"/>
        <c:axId val="127814656"/>
        <c:axId val="0"/>
      </c:bar3DChart>
      <c:catAx>
        <c:axId val="127813120"/>
        <c:scaling>
          <c:orientation val="minMax"/>
        </c:scaling>
        <c:axPos val="b"/>
        <c:numFmt formatCode="General" sourceLinked="0"/>
        <c:majorTickMark val="none"/>
        <c:tickLblPos val="nextTo"/>
        <c:crossAx val="127814656"/>
        <c:crosses val="autoZero"/>
        <c:auto val="1"/>
        <c:lblAlgn val="ctr"/>
        <c:lblOffset val="100"/>
      </c:catAx>
      <c:valAx>
        <c:axId val="127814656"/>
        <c:scaling>
          <c:orientation val="minMax"/>
        </c:scaling>
        <c:delete val="1"/>
        <c:axPos val="l"/>
        <c:numFmt formatCode="0" sourceLinked="1"/>
        <c:tickLblPos val="nextTo"/>
        <c:crossAx val="12781312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Sheet1!$AB$13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Sheet1!$AA$14:$AA$17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Sheet1!$AB$14:$AB$17</c:f>
              <c:numCache>
                <c:formatCode>0</c:formatCode>
                <c:ptCount val="4"/>
                <c:pt idx="0">
                  <c:v>18.181818181818194</c:v>
                </c:pt>
                <c:pt idx="1">
                  <c:v>0</c:v>
                </c:pt>
                <c:pt idx="2">
                  <c:v>81.818181818181756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27894272"/>
        <c:axId val="127895808"/>
        <c:axId val="0"/>
      </c:bar3DChart>
      <c:catAx>
        <c:axId val="1278942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895808"/>
        <c:crosses val="autoZero"/>
        <c:auto val="1"/>
        <c:lblAlgn val="ctr"/>
        <c:lblOffset val="100"/>
      </c:catAx>
      <c:valAx>
        <c:axId val="127895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89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Sheet1!$W$13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Sheet1!$V$14:$V$17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Sheet1!$W$14:$W$17</c:f>
              <c:numCache>
                <c:formatCode>0</c:formatCode>
                <c:ptCount val="4"/>
                <c:pt idx="0" formatCode="General">
                  <c:v>0</c:v>
                </c:pt>
                <c:pt idx="1">
                  <c:v>4.4871794871794872</c:v>
                </c:pt>
                <c:pt idx="2">
                  <c:v>95.512820512820468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27920384"/>
        <c:axId val="131510272"/>
        <c:axId val="0"/>
      </c:bar3DChart>
      <c:catAx>
        <c:axId val="127920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510272"/>
        <c:crosses val="autoZero"/>
        <c:auto val="1"/>
        <c:lblAlgn val="ctr"/>
        <c:lblOffset val="100"/>
      </c:catAx>
      <c:valAx>
        <c:axId val="131510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920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Sheet1!$AI$5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Sheet1!$AH$6:$AH$10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Sheet1!$AI$6:$AI$10</c:f>
              <c:numCache>
                <c:formatCode>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60.869565217391305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Sheet1!$AJ$5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Sheet1!$AH$6:$AH$10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Sheet1!$AJ$6:$AJ$10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39.130434782608695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131560576"/>
        <c:axId val="131562112"/>
        <c:axId val="0"/>
      </c:bar3DChart>
      <c:catAx>
        <c:axId val="131560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562112"/>
        <c:crosses val="autoZero"/>
        <c:auto val="1"/>
        <c:lblAlgn val="ctr"/>
        <c:lblOffset val="100"/>
      </c:catAx>
      <c:valAx>
        <c:axId val="131562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56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502D-4B7A-43C5-A722-3A318FA7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6</cp:revision>
  <dcterms:created xsi:type="dcterms:W3CDTF">2018-07-02T06:52:00Z</dcterms:created>
  <dcterms:modified xsi:type="dcterms:W3CDTF">2018-07-02T06:59:00Z</dcterms:modified>
</cp:coreProperties>
</file>