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 M.A. SOCIOLOGY</w:t>
      </w:r>
      <w:r w:rsidR="00DB7E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6887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AD2A15">
        <w:rPr>
          <w:rFonts w:ascii="Times New Roman" w:hAnsi="Times New Roman" w:cs="Times New Roman"/>
          <w:b/>
          <w:sz w:val="24"/>
          <w:szCs w:val="24"/>
        </w:rPr>
        <w:t>I</w:t>
      </w:r>
      <w:r w:rsidR="005F12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spellEnd"/>
      <w:proofErr w:type="gramStart"/>
      <w:r w:rsidR="0080704D">
        <w:rPr>
          <w:rFonts w:ascii="Times New Roman" w:hAnsi="Times New Roman" w:cs="Times New Roman"/>
          <w:b/>
          <w:sz w:val="24"/>
          <w:szCs w:val="24"/>
        </w:rPr>
        <w:t>,</w:t>
      </w:r>
      <w:r w:rsidR="00DB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</w:tblGrid>
      <w:tr w:rsidR="0071185C" w:rsidRPr="0071185C" w:rsidTr="00DB7E2D">
        <w:trPr>
          <w:trHeight w:val="9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1185C" w:rsidRPr="0071185C" w:rsidRDefault="00DB7E2D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604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</w:tblGrid>
      <w:tr w:rsidR="0071185C" w:rsidRPr="0071185C" w:rsidTr="00DB7E2D">
        <w:trPr>
          <w:trHeight w:val="9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1185C" w:rsidRPr="0071185C" w:rsidRDefault="00DB7E2D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71185C" w:rsidRPr="0071185C" w:rsidTr="0071185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5C" w:rsidRPr="0071185C" w:rsidRDefault="0071185C" w:rsidP="00711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85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71185C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28197" cy="1958454"/>
            <wp:effectExtent l="0" t="0" r="127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7E2D">
        <w:rPr>
          <w:b/>
          <w:noProof/>
          <w:sz w:val="24"/>
          <w:szCs w:val="24"/>
          <w:lang w:val="en-IN" w:eastAsia="en-IN"/>
        </w:rPr>
        <w:t xml:space="preserve">SOC 101 </w:t>
      </w:r>
    </w:p>
    <w:p w:rsidR="00F44D0A" w:rsidRDefault="0071185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 xml:space="preserve">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F44D0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44D0A" w:rsidRPr="00B42408" w:rsidRDefault="0071185C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%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F44D0A" w:rsidRPr="00236F1C" w:rsidRDefault="0071185C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71185C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7E2D">
        <w:rPr>
          <w:b/>
          <w:noProof/>
          <w:sz w:val="24"/>
          <w:szCs w:val="24"/>
          <w:lang w:val="en-IN" w:eastAsia="en-IN"/>
        </w:rPr>
        <w:t xml:space="preserve">SOC 102 </w:t>
      </w:r>
    </w:p>
    <w:p w:rsidR="00EF6553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344">
        <w:rPr>
          <w:rFonts w:ascii="Times New Roman" w:hAnsi="Times New Roman" w:cs="Times New Roman"/>
          <w:sz w:val="24"/>
          <w:szCs w:val="24"/>
        </w:rPr>
        <w:t>6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7E2D">
        <w:rPr>
          <w:b/>
          <w:noProof/>
          <w:sz w:val="24"/>
          <w:szCs w:val="24"/>
          <w:lang w:val="en-IN" w:eastAsia="en-IN"/>
        </w:rPr>
        <w:t xml:space="preserve">SOC 103 </w:t>
      </w:r>
    </w:p>
    <w:p w:rsidR="00AB0E1A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7E2D">
        <w:rPr>
          <w:b/>
          <w:noProof/>
          <w:sz w:val="24"/>
          <w:szCs w:val="24"/>
          <w:lang w:val="en-IN" w:eastAsia="en-IN"/>
        </w:rPr>
        <w:t>SOC 104</w:t>
      </w:r>
    </w:p>
    <w:p w:rsidR="00AB0E1A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9751C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7E2D">
        <w:rPr>
          <w:b/>
          <w:noProof/>
          <w:sz w:val="24"/>
          <w:szCs w:val="24"/>
          <w:lang w:val="en-IN" w:eastAsia="en-IN"/>
        </w:rPr>
        <w:t>SOC 113</w:t>
      </w:r>
    </w:p>
    <w:p w:rsidR="0033095A" w:rsidRPr="00236F1C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77F38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Excellent</w:t>
      </w:r>
    </w:p>
    <w:p w:rsidR="00D27E13" w:rsidRPr="001F5A41" w:rsidRDefault="00BC76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A41">
        <w:rPr>
          <w:rFonts w:ascii="Times New Roman" w:hAnsi="Times New Roman" w:cs="Times New Roman"/>
          <w:sz w:val="24"/>
          <w:szCs w:val="24"/>
        </w:rPr>
        <w:t>38</w:t>
      </w:r>
      <w:r w:rsidR="001C132E" w:rsidRPr="001F5A4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Outstanding</w:t>
      </w:r>
    </w:p>
    <w:p w:rsidR="001F5A41" w:rsidRPr="001F5A41" w:rsidRDefault="001F5A41" w:rsidP="001F5A4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1F5A41" w:rsidRPr="001F5A41" w:rsidTr="00DB7E2D">
        <w:trPr>
          <w:trHeight w:val="75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F5A41" w:rsidRPr="001F5A41" w:rsidRDefault="00DB7E2D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1F5A41" w:rsidRPr="001F5A41" w:rsidTr="001F5A4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1F5A41" w:rsidRPr="001F5A41" w:rsidTr="00DB7E2D">
        <w:trPr>
          <w:trHeight w:val="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F5A41" w:rsidRPr="001F5A41" w:rsidRDefault="00DB7E2D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F5A41" w:rsidRPr="001F5A41" w:rsidTr="007011F7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1" w:rsidRPr="001F5A41" w:rsidRDefault="001F5A41" w:rsidP="001F5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A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93057F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3841844" cy="1958454"/>
            <wp:effectExtent l="0" t="0" r="635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02956" w:rsidRDefault="00DB7E2D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 101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A70BF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2D25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2956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SOC 102 </w:t>
      </w:r>
    </w:p>
    <w:p w:rsidR="00656161" w:rsidRPr="00BA70BF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02956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 103</w:t>
      </w:r>
    </w:p>
    <w:p w:rsidR="00282929" w:rsidRPr="00D549BA" w:rsidRDefault="00183C4C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56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 104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FB0CD7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02956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SOC 113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3D66A0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M.A. SOCIOLOGY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r w:rsidR="00BA1F58">
        <w:rPr>
          <w:rFonts w:ascii="Times New Roman" w:hAnsi="Times New Roman" w:cs="Times New Roman"/>
          <w:b/>
          <w:sz w:val="24"/>
          <w:szCs w:val="24"/>
        </w:rPr>
        <w:t>I</w:t>
      </w:r>
      <w:r w:rsidR="00AD2A15" w:rsidRPr="00AD2A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497470" w:rsidRPr="00497470" w:rsidTr="00DB7E2D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97470" w:rsidRPr="00497470" w:rsidRDefault="00DB7E2D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497470" w:rsidRPr="00497470" w:rsidTr="00497470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70" w:rsidRPr="00497470" w:rsidRDefault="00497470" w:rsidP="00497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747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D544F" w:rsidRPr="00BD544F" w:rsidTr="00DB7E2D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D544F" w:rsidRPr="00BD544F" w:rsidRDefault="00DB7E2D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BD544F" w:rsidRPr="00BD544F" w:rsidTr="00BD54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4F" w:rsidRPr="00BD544F" w:rsidRDefault="00BD544F" w:rsidP="00BD54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544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BD544F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05367" cy="1958454"/>
            <wp:effectExtent l="0" t="0" r="0" b="38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DB7E2D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SOC 101 </w:t>
      </w:r>
    </w:p>
    <w:p w:rsidR="0033095A" w:rsidRPr="00236F1C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65137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DB7E2D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SOC 102 </w:t>
      </w:r>
    </w:p>
    <w:p w:rsidR="007F11D2" w:rsidRPr="00236F1C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236F1C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7F11D2" w:rsidRPr="00236F1C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395019">
        <w:rPr>
          <w:rFonts w:ascii="Times New Roman" w:hAnsi="Times New Roman" w:cs="Times New Roman"/>
          <w:sz w:val="24"/>
          <w:szCs w:val="24"/>
        </w:rPr>
        <w:t>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F11D2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7F11D2" w:rsidRDefault="00B135C5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102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SOC 103 </w:t>
      </w:r>
    </w:p>
    <w:p w:rsidR="00F12557" w:rsidRPr="00236F1C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F12557" w:rsidRPr="00236F1C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F12557" w:rsidRPr="00236F1C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F12557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 xml:space="preserve">SOC 103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DB7E2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 104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6831EE">
        <w:rPr>
          <w:rFonts w:ascii="Times New Roman" w:hAnsi="Times New Roman" w:cs="Times New Roman"/>
          <w:sz w:val="24"/>
          <w:szCs w:val="24"/>
        </w:rPr>
        <w:t>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54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C3547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0E3D">
        <w:rPr>
          <w:rFonts w:ascii="Times New Roman" w:hAnsi="Times New Roman" w:cs="Times New Roman"/>
          <w:sz w:val="24"/>
          <w:szCs w:val="24"/>
        </w:rPr>
        <w:t>7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104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02A8E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DB7E2D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 113</w:t>
      </w:r>
    </w:p>
    <w:p w:rsidR="004A0F12" w:rsidRPr="00236F1C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4A0F12" w:rsidRPr="00236F1C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4A0F12" w:rsidRPr="00236F1C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4A0F12" w:rsidRDefault="00193181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DB7E2D">
        <w:rPr>
          <w:rFonts w:ascii="Times New Roman" w:hAnsi="Times New Roman" w:cs="Times New Roman"/>
          <w:sz w:val="24"/>
          <w:szCs w:val="24"/>
        </w:rPr>
        <w:t>SOC 113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outstanding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350BA2" w:rsidRPr="00350BA2" w:rsidTr="00DB7E2D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350BA2" w:rsidRPr="00350BA2" w:rsidRDefault="00DB7E2D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50BA2" w:rsidRPr="00350BA2" w:rsidTr="00DB7E2D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350BA2" w:rsidRPr="00350BA2" w:rsidRDefault="00DB7E2D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SOC 104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b/>
                <w:bCs/>
                <w:color w:val="000000"/>
              </w:rPr>
              <w:t>SOC 113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350BA2" w:rsidRPr="00350BA2" w:rsidTr="00350B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A2" w:rsidRPr="00350BA2" w:rsidRDefault="00350BA2" w:rsidP="00350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0BA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350BA2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03260" cy="1651379"/>
            <wp:effectExtent l="0" t="0" r="254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A422D5" w:rsidRDefault="00A422D5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306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1331"/>
      </w:tblGrid>
      <w:tr w:rsidR="00DB7E2D" w:rsidRPr="00A422D5" w:rsidTr="00DB7E2D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E2D" w:rsidRPr="00A422D5" w:rsidRDefault="00DB7E2D" w:rsidP="00DB7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Percentages</w:t>
            </w:r>
          </w:p>
        </w:tc>
      </w:tr>
      <w:tr w:rsidR="00DB7E2D" w:rsidRPr="00A422D5" w:rsidTr="003A67ED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E2D" w:rsidRPr="00A422D5" w:rsidRDefault="00DB7E2D" w:rsidP="004C4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DB7E2D" w:rsidRPr="00A422D5" w:rsidTr="003A67ED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E2D" w:rsidRPr="00A422D5" w:rsidRDefault="00DB7E2D" w:rsidP="004C4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B7E2D" w:rsidRPr="00A422D5" w:rsidTr="003A67ED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2D" w:rsidRPr="00A422D5" w:rsidRDefault="00DB7E2D" w:rsidP="00A4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E2D" w:rsidRPr="00A422D5" w:rsidRDefault="00DB7E2D" w:rsidP="004C4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2D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9D09B4" w:rsidRDefault="00DB7E2D" w:rsidP="00DB7E2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DB7E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7798" cy="1760561"/>
            <wp:effectExtent l="19050" t="0" r="24452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2A9B" w:rsidRDefault="00C92A9B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51366" w:rsidRDefault="00251366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7E2D" w:rsidRPr="0021574B" w:rsidRDefault="00DB7E2D" w:rsidP="00DB7E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574B">
        <w:rPr>
          <w:rFonts w:ascii="Times New Roman" w:hAnsi="Times New Roman" w:cs="Times New Roman"/>
          <w:sz w:val="24"/>
          <w:szCs w:val="24"/>
        </w:rPr>
        <w:t>2</w:t>
      </w:r>
      <w:r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said that there are good</w:t>
      </w:r>
      <w:r w:rsidRPr="0021574B">
        <w:rPr>
          <w:rFonts w:ascii="Times New Roman" w:hAnsi="Times New Roman" w:cs="Times New Roman"/>
          <w:sz w:val="24"/>
          <w:szCs w:val="24"/>
        </w:rPr>
        <w:t xml:space="preserve"> Infrastructure facilities in the department </w:t>
      </w:r>
    </w:p>
    <w:p w:rsidR="00DB7E2D" w:rsidRPr="0021574B" w:rsidRDefault="00DB7E2D" w:rsidP="00DB7E2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said that there are good</w:t>
      </w:r>
      <w:r w:rsidRPr="0021574B">
        <w:rPr>
          <w:rFonts w:ascii="Times New Roman" w:hAnsi="Times New Roman" w:cs="Times New Roman"/>
          <w:sz w:val="24"/>
          <w:szCs w:val="24"/>
        </w:rPr>
        <w:t xml:space="preserve"> Infrastructure facilities in the department </w:t>
      </w:r>
    </w:p>
    <w:p w:rsidR="009361BD" w:rsidRPr="0021574B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74B" w:rsidRPr="009361BD" w:rsidRDefault="0021574B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74B" w:rsidRPr="009361BD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47430"/>
    <w:rsid w:val="0005202A"/>
    <w:rsid w:val="00056AC0"/>
    <w:rsid w:val="00066B0A"/>
    <w:rsid w:val="00076D43"/>
    <w:rsid w:val="000C6516"/>
    <w:rsid w:val="000D2029"/>
    <w:rsid w:val="000E05D4"/>
    <w:rsid w:val="000E4B90"/>
    <w:rsid w:val="000F3F64"/>
    <w:rsid w:val="00102956"/>
    <w:rsid w:val="00110CCE"/>
    <w:rsid w:val="00120680"/>
    <w:rsid w:val="00121942"/>
    <w:rsid w:val="001319E4"/>
    <w:rsid w:val="0014512C"/>
    <w:rsid w:val="00155BEF"/>
    <w:rsid w:val="00176203"/>
    <w:rsid w:val="001773B7"/>
    <w:rsid w:val="00183C4C"/>
    <w:rsid w:val="00193181"/>
    <w:rsid w:val="0019482F"/>
    <w:rsid w:val="00197A64"/>
    <w:rsid w:val="001A2DA3"/>
    <w:rsid w:val="001C132E"/>
    <w:rsid w:val="001C2BFD"/>
    <w:rsid w:val="001D578C"/>
    <w:rsid w:val="001F39EA"/>
    <w:rsid w:val="001F5A41"/>
    <w:rsid w:val="00203AC7"/>
    <w:rsid w:val="0021574B"/>
    <w:rsid w:val="002161E6"/>
    <w:rsid w:val="00230BB0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D25EF"/>
    <w:rsid w:val="002F6BDD"/>
    <w:rsid w:val="00302742"/>
    <w:rsid w:val="00304344"/>
    <w:rsid w:val="003116F0"/>
    <w:rsid w:val="003142F0"/>
    <w:rsid w:val="003228F0"/>
    <w:rsid w:val="0033095A"/>
    <w:rsid w:val="003473E4"/>
    <w:rsid w:val="00350BA2"/>
    <w:rsid w:val="00371C10"/>
    <w:rsid w:val="00380600"/>
    <w:rsid w:val="00395019"/>
    <w:rsid w:val="00396CF2"/>
    <w:rsid w:val="003A530C"/>
    <w:rsid w:val="003B5855"/>
    <w:rsid w:val="003C34AC"/>
    <w:rsid w:val="003D538A"/>
    <w:rsid w:val="003D66A0"/>
    <w:rsid w:val="004128D2"/>
    <w:rsid w:val="004146AC"/>
    <w:rsid w:val="004219E2"/>
    <w:rsid w:val="00447BF3"/>
    <w:rsid w:val="004556AB"/>
    <w:rsid w:val="00464FCE"/>
    <w:rsid w:val="00495E01"/>
    <w:rsid w:val="00496D52"/>
    <w:rsid w:val="00497470"/>
    <w:rsid w:val="004A0F12"/>
    <w:rsid w:val="004A2BC8"/>
    <w:rsid w:val="004A306F"/>
    <w:rsid w:val="004F020B"/>
    <w:rsid w:val="00505DC8"/>
    <w:rsid w:val="005062A4"/>
    <w:rsid w:val="0052507C"/>
    <w:rsid w:val="00542312"/>
    <w:rsid w:val="00581B19"/>
    <w:rsid w:val="005A79B8"/>
    <w:rsid w:val="005B41B7"/>
    <w:rsid w:val="005C360D"/>
    <w:rsid w:val="005C538C"/>
    <w:rsid w:val="005C67D1"/>
    <w:rsid w:val="005D1DB4"/>
    <w:rsid w:val="005D4CC0"/>
    <w:rsid w:val="005D64A9"/>
    <w:rsid w:val="005F12BE"/>
    <w:rsid w:val="005F4E2D"/>
    <w:rsid w:val="00626B2E"/>
    <w:rsid w:val="00651378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D036E"/>
    <w:rsid w:val="007011F7"/>
    <w:rsid w:val="0071185C"/>
    <w:rsid w:val="0071566C"/>
    <w:rsid w:val="007274DF"/>
    <w:rsid w:val="00734991"/>
    <w:rsid w:val="00743463"/>
    <w:rsid w:val="007879C1"/>
    <w:rsid w:val="007A2961"/>
    <w:rsid w:val="007B05EA"/>
    <w:rsid w:val="007B06BC"/>
    <w:rsid w:val="007C2B5B"/>
    <w:rsid w:val="007C608D"/>
    <w:rsid w:val="007F11D2"/>
    <w:rsid w:val="0080704D"/>
    <w:rsid w:val="008141C0"/>
    <w:rsid w:val="00861CC5"/>
    <w:rsid w:val="00873F82"/>
    <w:rsid w:val="008B0A6A"/>
    <w:rsid w:val="008B2FE5"/>
    <w:rsid w:val="008C2989"/>
    <w:rsid w:val="008C6104"/>
    <w:rsid w:val="008E1DF4"/>
    <w:rsid w:val="008F193C"/>
    <w:rsid w:val="008F51BA"/>
    <w:rsid w:val="00910C30"/>
    <w:rsid w:val="00913EDD"/>
    <w:rsid w:val="0091622C"/>
    <w:rsid w:val="0093057F"/>
    <w:rsid w:val="009361BD"/>
    <w:rsid w:val="00971EC2"/>
    <w:rsid w:val="009751C9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422D5"/>
    <w:rsid w:val="00A636E7"/>
    <w:rsid w:val="00A70F00"/>
    <w:rsid w:val="00A77F38"/>
    <w:rsid w:val="00A82345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2A15"/>
    <w:rsid w:val="00AE09EB"/>
    <w:rsid w:val="00AE539E"/>
    <w:rsid w:val="00B02A8E"/>
    <w:rsid w:val="00B13025"/>
    <w:rsid w:val="00B135C5"/>
    <w:rsid w:val="00B400B6"/>
    <w:rsid w:val="00B42408"/>
    <w:rsid w:val="00B43394"/>
    <w:rsid w:val="00B56099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BC27DC"/>
    <w:rsid w:val="00BC76E7"/>
    <w:rsid w:val="00BD544F"/>
    <w:rsid w:val="00BE0666"/>
    <w:rsid w:val="00BF1AF4"/>
    <w:rsid w:val="00C032A1"/>
    <w:rsid w:val="00C04417"/>
    <w:rsid w:val="00C04974"/>
    <w:rsid w:val="00C04FFC"/>
    <w:rsid w:val="00C05F9B"/>
    <w:rsid w:val="00C12CBA"/>
    <w:rsid w:val="00C13AD4"/>
    <w:rsid w:val="00C62D87"/>
    <w:rsid w:val="00C92A9B"/>
    <w:rsid w:val="00CA2440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FA3"/>
    <w:rsid w:val="00D27E13"/>
    <w:rsid w:val="00D366AC"/>
    <w:rsid w:val="00D4111C"/>
    <w:rsid w:val="00D46887"/>
    <w:rsid w:val="00D57EC8"/>
    <w:rsid w:val="00D61FD2"/>
    <w:rsid w:val="00D702A7"/>
    <w:rsid w:val="00D72A3A"/>
    <w:rsid w:val="00D82A74"/>
    <w:rsid w:val="00D944E9"/>
    <w:rsid w:val="00DB59FB"/>
    <w:rsid w:val="00DB7E2D"/>
    <w:rsid w:val="00DF6076"/>
    <w:rsid w:val="00E14F6E"/>
    <w:rsid w:val="00E34B79"/>
    <w:rsid w:val="00E40FDB"/>
    <w:rsid w:val="00E64D03"/>
    <w:rsid w:val="00E67BDD"/>
    <w:rsid w:val="00E70C58"/>
    <w:rsid w:val="00EA3330"/>
    <w:rsid w:val="00EF6553"/>
    <w:rsid w:val="00F02ADA"/>
    <w:rsid w:val="00F0473F"/>
    <w:rsid w:val="00F06649"/>
    <w:rsid w:val="00F12557"/>
    <w:rsid w:val="00F32F46"/>
    <w:rsid w:val="00F44D0A"/>
    <w:rsid w:val="00F50D6C"/>
    <w:rsid w:val="00F51018"/>
    <w:rsid w:val="00F52C7F"/>
    <w:rsid w:val="00F76D3F"/>
    <w:rsid w:val="00F80D61"/>
    <w:rsid w:val="00FB0CD7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MA_SOCIOLOGY__29-0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MA_1ST_SEM!$A$489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MA_1ST_SEM!$B$489:$F$489</c:f>
              <c:numCache>
                <c:formatCode>0</c:formatCode>
                <c:ptCount val="5"/>
                <c:pt idx="0">
                  <c:v>9.0909090909090988</c:v>
                </c:pt>
                <c:pt idx="1">
                  <c:v>5.5335968379446676</c:v>
                </c:pt>
                <c:pt idx="2">
                  <c:v>10.671936758893279</c:v>
                </c:pt>
                <c:pt idx="3">
                  <c:v>11.857707509881429</c:v>
                </c:pt>
                <c:pt idx="4">
                  <c:v>6.3241106719367481</c:v>
                </c:pt>
              </c:numCache>
            </c:numRef>
          </c:val>
        </c:ser>
        <c:ser>
          <c:idx val="1"/>
          <c:order val="1"/>
          <c:tx>
            <c:strRef>
              <c:f>MA_1ST_SEM!$A$490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MA_1ST_SEM!$B$490:$F$490</c:f>
              <c:numCache>
                <c:formatCode>0</c:formatCode>
                <c:ptCount val="5"/>
                <c:pt idx="0">
                  <c:v>20.553359683794483</c:v>
                </c:pt>
                <c:pt idx="1">
                  <c:v>20.553359683794483</c:v>
                </c:pt>
                <c:pt idx="2">
                  <c:v>24.110671936758894</c:v>
                </c:pt>
                <c:pt idx="3">
                  <c:v>23.320158102766801</c:v>
                </c:pt>
                <c:pt idx="4">
                  <c:v>17.39130434782609</c:v>
                </c:pt>
              </c:numCache>
            </c:numRef>
          </c:val>
        </c:ser>
        <c:ser>
          <c:idx val="2"/>
          <c:order val="2"/>
          <c:tx>
            <c:strRef>
              <c:f>MA_1ST_SEM!$A$491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MA_1ST_SEM!$B$491:$F$491</c:f>
              <c:numCache>
                <c:formatCode>0</c:formatCode>
                <c:ptCount val="5"/>
                <c:pt idx="0">
                  <c:v>31.620553359683797</c:v>
                </c:pt>
                <c:pt idx="1">
                  <c:v>37.549407114624479</c:v>
                </c:pt>
                <c:pt idx="2">
                  <c:v>33.99209486166005</c:v>
                </c:pt>
                <c:pt idx="3">
                  <c:v>32.015810276679879</c:v>
                </c:pt>
                <c:pt idx="4">
                  <c:v>38.339920948616594</c:v>
                </c:pt>
              </c:numCache>
            </c:numRef>
          </c:val>
        </c:ser>
        <c:ser>
          <c:idx val="3"/>
          <c:order val="3"/>
          <c:tx>
            <c:strRef>
              <c:f>MA_1ST_SEM!$A$492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MA_1ST_SEM!$B$488:$F$488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MA_1ST_SEM!$B$492:$F$492</c:f>
              <c:numCache>
                <c:formatCode>0</c:formatCode>
                <c:ptCount val="5"/>
                <c:pt idx="0">
                  <c:v>38.73517786561262</c:v>
                </c:pt>
                <c:pt idx="1">
                  <c:v>36.363636363636317</c:v>
                </c:pt>
                <c:pt idx="2">
                  <c:v>31.225296442687728</c:v>
                </c:pt>
                <c:pt idx="3">
                  <c:v>32.806324110671937</c:v>
                </c:pt>
                <c:pt idx="4">
                  <c:v>37.944664031620476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9864960"/>
        <c:axId val="229866496"/>
        <c:axId val="0"/>
      </c:bar3DChart>
      <c:catAx>
        <c:axId val="22986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29866496"/>
        <c:crosses val="autoZero"/>
        <c:auto val="1"/>
        <c:lblAlgn val="ctr"/>
        <c:lblOffset val="100"/>
        <c:noMultiLvlLbl val="0"/>
      </c:catAx>
      <c:valAx>
        <c:axId val="22986649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29864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MA_1ST_SEM!$H$489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MA_1ST_SEM!$I$489:$M$489</c:f>
              <c:numCache>
                <c:formatCode>0</c:formatCode>
                <c:ptCount val="5"/>
                <c:pt idx="0">
                  <c:v>3.9164490861618768</c:v>
                </c:pt>
                <c:pt idx="1">
                  <c:v>3.3942558746736262</c:v>
                </c:pt>
                <c:pt idx="2">
                  <c:v>6.2663185378590045</c:v>
                </c:pt>
                <c:pt idx="3">
                  <c:v>7.0496083550913893</c:v>
                </c:pt>
                <c:pt idx="4">
                  <c:v>2.872062663185377</c:v>
                </c:pt>
              </c:numCache>
            </c:numRef>
          </c:val>
        </c:ser>
        <c:ser>
          <c:idx val="1"/>
          <c:order val="1"/>
          <c:tx>
            <c:strRef>
              <c:f>MA_1ST_SEM!$H$490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MA_1ST_SEM!$I$490:$M$490</c:f>
              <c:numCache>
                <c:formatCode>0</c:formatCode>
                <c:ptCount val="5"/>
                <c:pt idx="0">
                  <c:v>14.3603133159269</c:v>
                </c:pt>
                <c:pt idx="1">
                  <c:v>14.3603133159269</c:v>
                </c:pt>
                <c:pt idx="2">
                  <c:v>17.754569190600531</c:v>
                </c:pt>
                <c:pt idx="3">
                  <c:v>19.843342036553508</c:v>
                </c:pt>
                <c:pt idx="4">
                  <c:v>14.3603133159269</c:v>
                </c:pt>
              </c:numCache>
            </c:numRef>
          </c:val>
        </c:ser>
        <c:ser>
          <c:idx val="2"/>
          <c:order val="2"/>
          <c:tx>
            <c:strRef>
              <c:f>MA_1ST_SEM!$H$491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MA_1ST_SEM!$I$491:$M$491</c:f>
              <c:numCache>
                <c:formatCode>0</c:formatCode>
                <c:ptCount val="5"/>
                <c:pt idx="0">
                  <c:v>28.981723237597876</c:v>
                </c:pt>
                <c:pt idx="1">
                  <c:v>28.459530026109643</c:v>
                </c:pt>
                <c:pt idx="2">
                  <c:v>34.464751958224547</c:v>
                </c:pt>
                <c:pt idx="3">
                  <c:v>32.637075718015666</c:v>
                </c:pt>
                <c:pt idx="4">
                  <c:v>32.375979112271551</c:v>
                </c:pt>
              </c:numCache>
            </c:numRef>
          </c:val>
        </c:ser>
        <c:ser>
          <c:idx val="3"/>
          <c:order val="3"/>
          <c:tx>
            <c:strRef>
              <c:f>MA_1ST_SEM!$H$492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MA_1ST_SEM!$I$488:$M$488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MA_1ST_SEM!$I$492:$M$492</c:f>
              <c:numCache>
                <c:formatCode>0</c:formatCode>
                <c:ptCount val="5"/>
                <c:pt idx="0">
                  <c:v>52.741514360313296</c:v>
                </c:pt>
                <c:pt idx="1">
                  <c:v>53.785900783289819</c:v>
                </c:pt>
                <c:pt idx="2">
                  <c:v>41.514360313315926</c:v>
                </c:pt>
                <c:pt idx="3">
                  <c:v>40.469973890339432</c:v>
                </c:pt>
                <c:pt idx="4">
                  <c:v>50.391644908616136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9899648"/>
        <c:axId val="240661632"/>
        <c:axId val="0"/>
      </c:bar3DChart>
      <c:catAx>
        <c:axId val="229899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0661632"/>
        <c:crosses val="autoZero"/>
        <c:auto val="1"/>
        <c:lblAlgn val="ctr"/>
        <c:lblOffset val="100"/>
        <c:noMultiLvlLbl val="0"/>
      </c:catAx>
      <c:valAx>
        <c:axId val="24066163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29899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MA_1ST_SEM!$O$489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MA_1ST_SEM!$P$489:$T$489</c:f>
              <c:numCache>
                <c:formatCode>0</c:formatCode>
                <c:ptCount val="5"/>
                <c:pt idx="0">
                  <c:v>8.7301587301587169</c:v>
                </c:pt>
                <c:pt idx="1">
                  <c:v>9.5238095238095237</c:v>
                </c:pt>
                <c:pt idx="2">
                  <c:v>10.317460317460325</c:v>
                </c:pt>
                <c:pt idx="3">
                  <c:v>9.5238095238095237</c:v>
                </c:pt>
                <c:pt idx="4">
                  <c:v>8.7301587301587169</c:v>
                </c:pt>
              </c:numCache>
            </c:numRef>
          </c:val>
        </c:ser>
        <c:ser>
          <c:idx val="1"/>
          <c:order val="1"/>
          <c:tx>
            <c:strRef>
              <c:f>MA_1ST_SEM!$O$490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MA_1ST_SEM!$P$490:$T$490</c:f>
              <c:numCache>
                <c:formatCode>0</c:formatCode>
                <c:ptCount val="5"/>
                <c:pt idx="0">
                  <c:v>23.01587301587303</c:v>
                </c:pt>
                <c:pt idx="1">
                  <c:v>25.396825396825392</c:v>
                </c:pt>
                <c:pt idx="2">
                  <c:v>17.460317460317459</c:v>
                </c:pt>
                <c:pt idx="3">
                  <c:v>24.603174603174601</c:v>
                </c:pt>
                <c:pt idx="4">
                  <c:v>21.428571428571427</c:v>
                </c:pt>
              </c:numCache>
            </c:numRef>
          </c:val>
        </c:ser>
        <c:ser>
          <c:idx val="2"/>
          <c:order val="2"/>
          <c:tx>
            <c:strRef>
              <c:f>MA_1ST_SEM!$O$491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MA_1ST_SEM!$P$491:$T$491</c:f>
              <c:numCache>
                <c:formatCode>0</c:formatCode>
                <c:ptCount val="5"/>
                <c:pt idx="0">
                  <c:v>26.984126984126956</c:v>
                </c:pt>
                <c:pt idx="1">
                  <c:v>30.158730158730144</c:v>
                </c:pt>
                <c:pt idx="2">
                  <c:v>38.095238095238102</c:v>
                </c:pt>
                <c:pt idx="3">
                  <c:v>29.365079365079353</c:v>
                </c:pt>
                <c:pt idx="4">
                  <c:v>30.952380952380931</c:v>
                </c:pt>
              </c:numCache>
            </c:numRef>
          </c:val>
        </c:ser>
        <c:ser>
          <c:idx val="3"/>
          <c:order val="3"/>
          <c:tx>
            <c:strRef>
              <c:f>MA_1ST_SEM!$O$492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MA_1ST_SEM!$P$488:$T$488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MA_1ST_SEM!$P$492:$T$492</c:f>
              <c:numCache>
                <c:formatCode>0</c:formatCode>
                <c:ptCount val="5"/>
                <c:pt idx="0">
                  <c:v>41.269841269841244</c:v>
                </c:pt>
                <c:pt idx="1">
                  <c:v>34.920634920634917</c:v>
                </c:pt>
                <c:pt idx="2">
                  <c:v>34.126984126984155</c:v>
                </c:pt>
                <c:pt idx="3">
                  <c:v>36.507936507936478</c:v>
                </c:pt>
                <c:pt idx="4">
                  <c:v>38.888888888888893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0707072"/>
        <c:axId val="240708608"/>
        <c:axId val="0"/>
      </c:bar3DChart>
      <c:catAx>
        <c:axId val="240707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0708608"/>
        <c:crosses val="autoZero"/>
        <c:auto val="1"/>
        <c:lblAlgn val="ctr"/>
        <c:lblOffset val="100"/>
        <c:noMultiLvlLbl val="0"/>
      </c:catAx>
      <c:valAx>
        <c:axId val="24070860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0707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MA_1ST_SEM!$V$489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MA_1ST_SEM!$W$489:$AA$489</c:f>
              <c:numCache>
                <c:formatCode>0</c:formatCode>
                <c:ptCount val="5"/>
                <c:pt idx="0">
                  <c:v>7.2916666666666705</c:v>
                </c:pt>
                <c:pt idx="1">
                  <c:v>5.2083333333333393</c:v>
                </c:pt>
                <c:pt idx="2">
                  <c:v>9.3750000000000071</c:v>
                </c:pt>
                <c:pt idx="3">
                  <c:v>7.2916666666666705</c:v>
                </c:pt>
                <c:pt idx="4">
                  <c:v>4.1666666666666661</c:v>
                </c:pt>
              </c:numCache>
            </c:numRef>
          </c:val>
        </c:ser>
        <c:ser>
          <c:idx val="1"/>
          <c:order val="1"/>
          <c:tx>
            <c:strRef>
              <c:f>MA_1ST_SEM!$V$490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MA_1ST_SEM!$W$490:$AA$490</c:f>
              <c:numCache>
                <c:formatCode>0</c:formatCode>
                <c:ptCount val="5"/>
                <c:pt idx="0">
                  <c:v>16.666666666666664</c:v>
                </c:pt>
                <c:pt idx="1">
                  <c:v>19.791666666666664</c:v>
                </c:pt>
                <c:pt idx="2">
                  <c:v>33.333333333333329</c:v>
                </c:pt>
                <c:pt idx="3">
                  <c:v>27.08333333333329</c:v>
                </c:pt>
                <c:pt idx="4">
                  <c:v>22.916666666666664</c:v>
                </c:pt>
              </c:numCache>
            </c:numRef>
          </c:val>
        </c:ser>
        <c:ser>
          <c:idx val="2"/>
          <c:order val="2"/>
          <c:tx>
            <c:strRef>
              <c:f>MA_1ST_SEM!$V$491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MA_1ST_SEM!$W$491:$AA$491</c:f>
              <c:numCache>
                <c:formatCode>0</c:formatCode>
                <c:ptCount val="5"/>
                <c:pt idx="0">
                  <c:v>29.166666666666668</c:v>
                </c:pt>
                <c:pt idx="1">
                  <c:v>25</c:v>
                </c:pt>
                <c:pt idx="2">
                  <c:v>18.75</c:v>
                </c:pt>
                <c:pt idx="3">
                  <c:v>29.166666666666668</c:v>
                </c:pt>
                <c:pt idx="4">
                  <c:v>18.75</c:v>
                </c:pt>
              </c:numCache>
            </c:numRef>
          </c:val>
        </c:ser>
        <c:ser>
          <c:idx val="3"/>
          <c:order val="3"/>
          <c:tx>
            <c:strRef>
              <c:f>MA_1ST_SEM!$V$492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MA_1ST_SEM!$W$488:$AA$488</c:f>
              <c:strCache>
                <c:ptCount val="5"/>
                <c:pt idx="0">
                  <c:v>SOC 101</c:v>
                </c:pt>
                <c:pt idx="1">
                  <c:v>SOC 102 </c:v>
                </c:pt>
                <c:pt idx="2">
                  <c:v>SOC 103</c:v>
                </c:pt>
                <c:pt idx="3">
                  <c:v>SOC 104 </c:v>
                </c:pt>
                <c:pt idx="4">
                  <c:v>SOC 113</c:v>
                </c:pt>
              </c:strCache>
            </c:strRef>
          </c:cat>
          <c:val>
            <c:numRef>
              <c:f>MA_1ST_SEM!$W$492:$AA$492</c:f>
              <c:numCache>
                <c:formatCode>0</c:formatCode>
                <c:ptCount val="5"/>
                <c:pt idx="0">
                  <c:v>46.875</c:v>
                </c:pt>
                <c:pt idx="1">
                  <c:v>50</c:v>
                </c:pt>
                <c:pt idx="2">
                  <c:v>38.541666666666586</c:v>
                </c:pt>
                <c:pt idx="3">
                  <c:v>36.458333333333329</c:v>
                </c:pt>
                <c:pt idx="4">
                  <c:v>54.166666666666607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9458048"/>
        <c:axId val="249468032"/>
        <c:axId val="0"/>
      </c:bar3DChart>
      <c:catAx>
        <c:axId val="249458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9468032"/>
        <c:crosses val="autoZero"/>
        <c:auto val="1"/>
        <c:lblAlgn val="ctr"/>
        <c:lblOffset val="100"/>
        <c:noMultiLvlLbl val="0"/>
      </c:catAx>
      <c:valAx>
        <c:axId val="24946803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9458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MA_3RD_SEM!$AI$132:$AI$133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MA_3RD_SEM!$AJ$132:$AJ$133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0089-BDA7-4A20-9EF8-844D3E40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2018-06-08T05:43:00Z</dcterms:created>
  <dcterms:modified xsi:type="dcterms:W3CDTF">2018-10-16T12:57:00Z</dcterms:modified>
</cp:coreProperties>
</file>