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 M.A. SOCIOLOGY</w:t>
      </w:r>
      <w:r w:rsidR="00D46887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243833">
        <w:rPr>
          <w:rFonts w:ascii="Times New Roman" w:hAnsi="Times New Roman" w:cs="Times New Roman"/>
          <w:b/>
          <w:sz w:val="24"/>
          <w:szCs w:val="24"/>
        </w:rPr>
        <w:t>I</w:t>
      </w:r>
      <w:r w:rsidR="00435340">
        <w:rPr>
          <w:rFonts w:ascii="Times New Roman" w:hAnsi="Times New Roman" w:cs="Times New Roman"/>
          <w:b/>
          <w:sz w:val="24"/>
          <w:szCs w:val="24"/>
        </w:rPr>
        <w:t>I</w:t>
      </w:r>
      <w:r w:rsidR="00243833">
        <w:rPr>
          <w:rFonts w:ascii="Times New Roman" w:hAnsi="Times New Roman" w:cs="Times New Roman"/>
          <w:b/>
          <w:sz w:val="24"/>
          <w:szCs w:val="24"/>
        </w:rPr>
        <w:t>I</w:t>
      </w:r>
      <w:r w:rsidR="0043534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070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DB4D74" w:rsidRPr="00DB4D74" w:rsidTr="001A38F1">
        <w:trPr>
          <w:trHeight w:val="71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DB4D74" w:rsidRPr="00DB4D74" w:rsidRDefault="00BF5CA2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1A38F1" w:rsidRPr="00DB4D74" w:rsidTr="001A38F1">
        <w:trPr>
          <w:trHeight w:val="638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A38F1" w:rsidRPr="00DB4D74" w:rsidRDefault="00BF5CA2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1A38F1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8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13511" cy="2115403"/>
            <wp:effectExtent l="19050" t="0" r="1108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5C360D">
      <w:pPr>
        <w:tabs>
          <w:tab w:val="left" w:pos="944"/>
        </w:tabs>
        <w:jc w:val="center"/>
        <w:rPr>
          <w:noProof/>
        </w:rPr>
      </w:pP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1A38F1">
        <w:rPr>
          <w:b/>
          <w:noProof/>
          <w:sz w:val="24"/>
          <w:szCs w:val="24"/>
          <w:lang w:val="en-IN" w:eastAsia="en-IN"/>
        </w:rPr>
        <w:t>SOC301</w:t>
      </w:r>
    </w:p>
    <w:p w:rsidR="00F44D0A" w:rsidRDefault="007C3640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 xml:space="preserve">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F44D0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F44D0A" w:rsidRPr="00B42408" w:rsidRDefault="007C3640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%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F44D0A" w:rsidRPr="00236F1C" w:rsidRDefault="007C3640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7C3640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1A38F1">
        <w:rPr>
          <w:b/>
          <w:noProof/>
          <w:sz w:val="24"/>
          <w:szCs w:val="24"/>
          <w:lang w:val="en-IN" w:eastAsia="en-IN"/>
        </w:rPr>
        <w:t xml:space="preserve">SOC302 </w:t>
      </w:r>
    </w:p>
    <w:p w:rsidR="00EF6553" w:rsidRDefault="00A87A0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A87A0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A87A0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1A38F1">
        <w:rPr>
          <w:b/>
          <w:noProof/>
          <w:sz w:val="24"/>
          <w:szCs w:val="24"/>
          <w:lang w:val="en-IN" w:eastAsia="en-IN"/>
        </w:rPr>
        <w:t xml:space="preserve">SOC304 </w:t>
      </w:r>
    </w:p>
    <w:p w:rsidR="00AB0E1A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A08">
        <w:rPr>
          <w:rFonts w:ascii="Times New Roman" w:hAnsi="Times New Roman" w:cs="Times New Roman"/>
          <w:sz w:val="24"/>
          <w:szCs w:val="24"/>
        </w:rPr>
        <w:t>6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1A38F1">
        <w:rPr>
          <w:b/>
          <w:noProof/>
          <w:sz w:val="24"/>
          <w:szCs w:val="24"/>
          <w:lang w:val="en-IN" w:eastAsia="en-IN"/>
        </w:rPr>
        <w:t xml:space="preserve">SOC310 </w:t>
      </w:r>
    </w:p>
    <w:p w:rsidR="00AB0E1A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43028" w:rsidRDefault="00076D43" w:rsidP="00343028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D7108A" w:rsidP="003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77F38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5A44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5A44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Excellent</w:t>
      </w:r>
    </w:p>
    <w:p w:rsidR="00D27E13" w:rsidRPr="001F5A41" w:rsidRDefault="005A44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C132E" w:rsidRPr="001F5A4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Outstanding</w:t>
      </w:r>
    </w:p>
    <w:p w:rsidR="001F5A41" w:rsidRPr="001F5A41" w:rsidRDefault="001F5A41" w:rsidP="001F5A4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4D4CE1" w:rsidRPr="004D4CE1" w:rsidTr="001A38F1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D4CE1" w:rsidRPr="004D4CE1" w:rsidRDefault="00BF5CA2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1A38F1" w:rsidRPr="004D4CE1" w:rsidTr="001A38F1">
        <w:trPr>
          <w:trHeight w:val="9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A38F1" w:rsidRPr="004D4CE1" w:rsidRDefault="00BF5CA2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D15FA3" w:rsidRDefault="001A38F1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38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3607" cy="1992573"/>
            <wp:effectExtent l="19050" t="0" r="21893" b="7677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3028" w:rsidRDefault="001A38F1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SOC301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0D3BD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A70BF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3BDE">
        <w:rPr>
          <w:rFonts w:ascii="Times New Roman" w:hAnsi="Times New Roman" w:cs="Times New Roman"/>
          <w:sz w:val="24"/>
          <w:szCs w:val="24"/>
        </w:rPr>
        <w:t>7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D549BA" w:rsidRDefault="000D3BD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2D25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0D3BD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3028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SOC302</w:t>
      </w:r>
    </w:p>
    <w:p w:rsidR="00656161" w:rsidRPr="00BA70BF" w:rsidRDefault="00030FD6" w:rsidP="0034302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0FD6">
        <w:rPr>
          <w:rFonts w:ascii="Times New Roman" w:hAnsi="Times New Roman" w:cs="Times New Roman"/>
          <w:sz w:val="24"/>
          <w:szCs w:val="24"/>
        </w:rPr>
        <w:t>6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656161" w:rsidRPr="00D549BA" w:rsidRDefault="00030FD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656161" w:rsidRPr="00D549BA" w:rsidRDefault="00030FD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43028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SOC304</w:t>
      </w:r>
    </w:p>
    <w:p w:rsidR="00282929" w:rsidRPr="00D549BA" w:rsidRDefault="00AF762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282929" w:rsidRPr="00D549BA" w:rsidRDefault="00AF762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9EA">
        <w:rPr>
          <w:rFonts w:ascii="Times New Roman" w:hAnsi="Times New Roman" w:cs="Times New Roman"/>
          <w:sz w:val="24"/>
          <w:szCs w:val="24"/>
        </w:rPr>
        <w:t>4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AF762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28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SOC310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43028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B93EDD" w:rsidRPr="00D549BA" w:rsidRDefault="006340BB" w:rsidP="0034302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NONE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</w:t>
      </w:r>
      <w:proofErr w:type="gramStart"/>
      <w:r w:rsidR="00B93EDD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proofErr w:type="gramEnd"/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4D066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4D066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5C2A86">
        <w:rPr>
          <w:rFonts w:ascii="Times New Roman" w:hAnsi="Times New Roman" w:cs="Times New Roman"/>
          <w:sz w:val="24"/>
          <w:szCs w:val="24"/>
        </w:rPr>
        <w:t xml:space="preserve"> as G</w:t>
      </w:r>
      <w:r w:rsidR="00B93EDD" w:rsidRPr="00D549BA">
        <w:rPr>
          <w:rFonts w:ascii="Times New Roman" w:hAnsi="Times New Roman" w:cs="Times New Roman"/>
          <w:sz w:val="24"/>
          <w:szCs w:val="24"/>
        </w:rPr>
        <w:t>ood</w:t>
      </w:r>
    </w:p>
    <w:p w:rsidR="00B93EDD" w:rsidRPr="004D066C" w:rsidRDefault="004D066C" w:rsidP="004D06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B93EDD" w:rsidRPr="004D066C">
        <w:rPr>
          <w:rFonts w:ascii="Times New Roman" w:hAnsi="Times New Roman" w:cs="Times New Roman"/>
          <w:sz w:val="24"/>
          <w:szCs w:val="24"/>
        </w:rPr>
        <w:t xml:space="preserve">% of the students have rated performance of  </w:t>
      </w:r>
      <w:r w:rsidR="00B93EDD" w:rsidRPr="004D066C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 w:rsidRPr="004D066C">
        <w:rPr>
          <w:rFonts w:ascii="Times New Roman" w:hAnsi="Times New Roman" w:cs="Times New Roman"/>
          <w:sz w:val="24"/>
          <w:szCs w:val="24"/>
        </w:rPr>
        <w:t xml:space="preserve"> name as </w:t>
      </w:r>
      <w:r w:rsidR="002D25EF" w:rsidRPr="004D066C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M.A. SOCIOLOGY </w:t>
      </w:r>
      <w:r w:rsidR="00243833">
        <w:rPr>
          <w:rFonts w:ascii="Times New Roman" w:hAnsi="Times New Roman" w:cs="Times New Roman"/>
          <w:b/>
          <w:sz w:val="24"/>
          <w:szCs w:val="24"/>
        </w:rPr>
        <w:t>Semester- II</w:t>
      </w:r>
      <w:r w:rsidR="00092219">
        <w:rPr>
          <w:rFonts w:ascii="Times New Roman" w:hAnsi="Times New Roman" w:cs="Times New Roman"/>
          <w:b/>
          <w:sz w:val="24"/>
          <w:szCs w:val="24"/>
        </w:rPr>
        <w:t>I</w:t>
      </w:r>
      <w:r w:rsidR="00092219" w:rsidRPr="0009221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092219" w:rsidRPr="00092219" w:rsidTr="001A38F1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092219" w:rsidRPr="00092219" w:rsidRDefault="00BF5CA2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A45" w:rsidRDefault="00696A45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A45" w:rsidRDefault="00696A45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1A38F1" w:rsidRPr="00092219" w:rsidTr="001A38F1">
        <w:trPr>
          <w:trHeight w:val="73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A38F1" w:rsidRPr="00092219" w:rsidRDefault="00BF5CA2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1A38F1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8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2124075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1A38F1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SOC301</w:t>
      </w:r>
    </w:p>
    <w:p w:rsidR="0033095A" w:rsidRPr="00236F1C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1A38F1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SOC302</w:t>
      </w:r>
    </w:p>
    <w:p w:rsidR="007F11D2" w:rsidRPr="00236F1C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236F1C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7F11D2" w:rsidRPr="00236F1C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395019">
        <w:rPr>
          <w:rFonts w:ascii="Times New Roman" w:hAnsi="Times New Roman" w:cs="Times New Roman"/>
          <w:sz w:val="24"/>
          <w:szCs w:val="24"/>
        </w:rPr>
        <w:t>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F11D2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7F11D2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SOC304</w:t>
      </w:r>
    </w:p>
    <w:p w:rsidR="00F12557" w:rsidRPr="00236F1C" w:rsidRDefault="000922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F12557" w:rsidRPr="00236F1C" w:rsidRDefault="000922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F12557" w:rsidRPr="00236F1C" w:rsidRDefault="000922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F12557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SOC310</w:t>
      </w:r>
    </w:p>
    <w:p w:rsidR="009C3547" w:rsidRPr="00236F1C" w:rsidRDefault="000922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219">
        <w:rPr>
          <w:rFonts w:ascii="Times New Roman" w:hAnsi="Times New Roman" w:cs="Times New Roman"/>
          <w:sz w:val="24"/>
          <w:szCs w:val="24"/>
        </w:rPr>
        <w:t>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9C3547" w:rsidRPr="00236F1C" w:rsidRDefault="000922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6831EE">
        <w:rPr>
          <w:rFonts w:ascii="Times New Roman" w:hAnsi="Times New Roman" w:cs="Times New Roman"/>
          <w:sz w:val="24"/>
          <w:szCs w:val="24"/>
        </w:rPr>
        <w:t>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54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C3547" w:rsidRDefault="000922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02A8E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4A0F12" w:rsidRPr="00236F1C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4A0F12" w:rsidRPr="00236F1C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4A0F12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outstanding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81082B" w:rsidRPr="0081082B" w:rsidTr="001A38F1">
        <w:trPr>
          <w:trHeight w:val="71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082B" w:rsidRPr="0081082B" w:rsidRDefault="00B01ACD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  <w:r w:rsidR="0081082B"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rade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B01ACD" w:rsidRPr="00D15005" w:rsidTr="00B01ACD">
        <w:trPr>
          <w:trHeight w:val="74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B01ACD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3326" cy="1630907"/>
            <wp:effectExtent l="19050" t="0" r="25874" b="7393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A422D5" w:rsidRDefault="00A422D5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3405" w:type="dxa"/>
        <w:jc w:val="center"/>
        <w:tblInd w:w="93" w:type="dxa"/>
        <w:tblLook w:val="04A0" w:firstRow="1" w:lastRow="0" w:firstColumn="1" w:lastColumn="0" w:noHBand="0" w:noVBand="1"/>
      </w:tblPr>
      <w:tblGrid>
        <w:gridCol w:w="1485"/>
        <w:gridCol w:w="960"/>
        <w:gridCol w:w="1331"/>
      </w:tblGrid>
      <w:tr w:rsidR="00F825C4" w:rsidRPr="00BE294D" w:rsidTr="00F825C4">
        <w:trPr>
          <w:trHeight w:val="90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Infrastructure facilities are available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Percentages</w:t>
            </w:r>
          </w:p>
        </w:tc>
      </w:tr>
      <w:tr w:rsidR="00F825C4" w:rsidRPr="00BE294D" w:rsidTr="00C508E1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5C4" w:rsidRPr="00BE294D" w:rsidRDefault="00F825C4" w:rsidP="002F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F825C4" w:rsidRPr="00BE294D" w:rsidTr="00C508E1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5C4" w:rsidRPr="00BE294D" w:rsidRDefault="00F825C4" w:rsidP="002F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825C4" w:rsidRPr="00BE294D" w:rsidTr="00C508E1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5C4" w:rsidRPr="00BE294D" w:rsidRDefault="00F825C4" w:rsidP="002F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9D09B4" w:rsidRDefault="009D09B4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51366" w:rsidRDefault="00F825C4" w:rsidP="00F825C4">
      <w:pPr>
        <w:tabs>
          <w:tab w:val="left" w:pos="944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25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7393" cy="1528549"/>
            <wp:effectExtent l="19050" t="0" r="24907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6BDD" w:rsidRPr="0021574B" w:rsidRDefault="00BE294D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574B" w:rsidRPr="0021574B">
        <w:rPr>
          <w:rFonts w:ascii="Times New Roman" w:hAnsi="Times New Roman" w:cs="Times New Roman"/>
          <w:sz w:val="24"/>
          <w:szCs w:val="24"/>
        </w:rPr>
        <w:t>2</w:t>
      </w:r>
      <w:r w:rsidR="002F6BDD"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825C4">
        <w:rPr>
          <w:rFonts w:ascii="Times New Roman" w:hAnsi="Times New Roman" w:cs="Times New Roman"/>
          <w:sz w:val="24"/>
          <w:szCs w:val="24"/>
        </w:rPr>
        <w:t>said that there are good</w:t>
      </w:r>
      <w:r w:rsidR="002F6BDD" w:rsidRPr="0021574B">
        <w:rPr>
          <w:rFonts w:ascii="Times New Roman" w:hAnsi="Times New Roman" w:cs="Times New Roman"/>
          <w:sz w:val="24"/>
          <w:szCs w:val="24"/>
        </w:rPr>
        <w:t xml:space="preserve"> </w:t>
      </w:r>
      <w:r w:rsidR="009F10F5" w:rsidRPr="0021574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15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C4" w:rsidRPr="0021574B" w:rsidRDefault="00F825C4" w:rsidP="00F82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said that there are good</w:t>
      </w:r>
      <w:r w:rsidRPr="0021574B">
        <w:rPr>
          <w:rFonts w:ascii="Times New Roman" w:hAnsi="Times New Roman" w:cs="Times New Roman"/>
          <w:sz w:val="24"/>
          <w:szCs w:val="24"/>
        </w:rPr>
        <w:t xml:space="preserve"> Infrastructure facilities in the department </w:t>
      </w:r>
    </w:p>
    <w:p w:rsidR="009361BD" w:rsidRPr="0021574B" w:rsidRDefault="009361BD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74B" w:rsidRDefault="0021574B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45" w:rsidRPr="009361BD" w:rsidRDefault="00696A45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A45" w:rsidRPr="009361BD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30FD6"/>
    <w:rsid w:val="00047430"/>
    <w:rsid w:val="0005202A"/>
    <w:rsid w:val="00056AC0"/>
    <w:rsid w:val="00066B0A"/>
    <w:rsid w:val="00076D43"/>
    <w:rsid w:val="00080E2D"/>
    <w:rsid w:val="00083814"/>
    <w:rsid w:val="00092219"/>
    <w:rsid w:val="000C6516"/>
    <w:rsid w:val="000D2029"/>
    <w:rsid w:val="000D3BDE"/>
    <w:rsid w:val="000E05D4"/>
    <w:rsid w:val="000E4B90"/>
    <w:rsid w:val="000F3F64"/>
    <w:rsid w:val="00110CCE"/>
    <w:rsid w:val="00120680"/>
    <w:rsid w:val="00121942"/>
    <w:rsid w:val="001319E4"/>
    <w:rsid w:val="0014512C"/>
    <w:rsid w:val="00155BEF"/>
    <w:rsid w:val="00176203"/>
    <w:rsid w:val="001773B7"/>
    <w:rsid w:val="00183C4C"/>
    <w:rsid w:val="00193181"/>
    <w:rsid w:val="0019482F"/>
    <w:rsid w:val="00197A64"/>
    <w:rsid w:val="001A2DA3"/>
    <w:rsid w:val="001A38F1"/>
    <w:rsid w:val="001C132E"/>
    <w:rsid w:val="001C2BFD"/>
    <w:rsid w:val="001D578C"/>
    <w:rsid w:val="001F39EA"/>
    <w:rsid w:val="001F5A41"/>
    <w:rsid w:val="00203AC7"/>
    <w:rsid w:val="0021574B"/>
    <w:rsid w:val="002161E6"/>
    <w:rsid w:val="00230BB0"/>
    <w:rsid w:val="00243833"/>
    <w:rsid w:val="0025136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D25EF"/>
    <w:rsid w:val="002F6BDD"/>
    <w:rsid w:val="00302742"/>
    <w:rsid w:val="00304344"/>
    <w:rsid w:val="003116F0"/>
    <w:rsid w:val="003142F0"/>
    <w:rsid w:val="00316FAD"/>
    <w:rsid w:val="003228F0"/>
    <w:rsid w:val="0033095A"/>
    <w:rsid w:val="00343028"/>
    <w:rsid w:val="003473E4"/>
    <w:rsid w:val="00350BA2"/>
    <w:rsid w:val="00371C10"/>
    <w:rsid w:val="00380600"/>
    <w:rsid w:val="00395019"/>
    <w:rsid w:val="00396CF2"/>
    <w:rsid w:val="003A530C"/>
    <w:rsid w:val="003B5855"/>
    <w:rsid w:val="003C34AC"/>
    <w:rsid w:val="003D538A"/>
    <w:rsid w:val="003D66A0"/>
    <w:rsid w:val="004128D2"/>
    <w:rsid w:val="004146AC"/>
    <w:rsid w:val="004165BC"/>
    <w:rsid w:val="004219E2"/>
    <w:rsid w:val="00435340"/>
    <w:rsid w:val="00447BF3"/>
    <w:rsid w:val="004556AB"/>
    <w:rsid w:val="00464FCE"/>
    <w:rsid w:val="00495E01"/>
    <w:rsid w:val="00496D52"/>
    <w:rsid w:val="00497470"/>
    <w:rsid w:val="004A0F12"/>
    <w:rsid w:val="004A2BC8"/>
    <w:rsid w:val="004A306F"/>
    <w:rsid w:val="004D066C"/>
    <w:rsid w:val="004D4CE1"/>
    <w:rsid w:val="004F020B"/>
    <w:rsid w:val="00505DC8"/>
    <w:rsid w:val="005062A4"/>
    <w:rsid w:val="0052507C"/>
    <w:rsid w:val="005353A4"/>
    <w:rsid w:val="00542312"/>
    <w:rsid w:val="00581B19"/>
    <w:rsid w:val="005A44BB"/>
    <w:rsid w:val="005A79B8"/>
    <w:rsid w:val="005B41B7"/>
    <w:rsid w:val="005C2A86"/>
    <w:rsid w:val="005C360D"/>
    <w:rsid w:val="005C538C"/>
    <w:rsid w:val="005C67D1"/>
    <w:rsid w:val="005D1DB4"/>
    <w:rsid w:val="005D4CC0"/>
    <w:rsid w:val="005D64A9"/>
    <w:rsid w:val="005F12BE"/>
    <w:rsid w:val="005F4E2D"/>
    <w:rsid w:val="00626B2E"/>
    <w:rsid w:val="006340BB"/>
    <w:rsid w:val="00637983"/>
    <w:rsid w:val="00651378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96A45"/>
    <w:rsid w:val="006D036E"/>
    <w:rsid w:val="007011F7"/>
    <w:rsid w:val="0071185C"/>
    <w:rsid w:val="0071566C"/>
    <w:rsid w:val="007274DF"/>
    <w:rsid w:val="00743463"/>
    <w:rsid w:val="007879C1"/>
    <w:rsid w:val="007A25EE"/>
    <w:rsid w:val="007A2961"/>
    <w:rsid w:val="007B05EA"/>
    <w:rsid w:val="007B06BC"/>
    <w:rsid w:val="007C2499"/>
    <w:rsid w:val="007C2B5B"/>
    <w:rsid w:val="007C3640"/>
    <w:rsid w:val="007C608D"/>
    <w:rsid w:val="007F11D2"/>
    <w:rsid w:val="0080704D"/>
    <w:rsid w:val="0081082B"/>
    <w:rsid w:val="008141C0"/>
    <w:rsid w:val="00861CC5"/>
    <w:rsid w:val="00873F82"/>
    <w:rsid w:val="008B0A6A"/>
    <w:rsid w:val="008B2FE5"/>
    <w:rsid w:val="008C2989"/>
    <w:rsid w:val="008C6104"/>
    <w:rsid w:val="008E1DF4"/>
    <w:rsid w:val="008F193C"/>
    <w:rsid w:val="008F51BA"/>
    <w:rsid w:val="00910C30"/>
    <w:rsid w:val="00913EDD"/>
    <w:rsid w:val="0091622C"/>
    <w:rsid w:val="0093057F"/>
    <w:rsid w:val="009361BD"/>
    <w:rsid w:val="00971EC2"/>
    <w:rsid w:val="009751C9"/>
    <w:rsid w:val="00975CC1"/>
    <w:rsid w:val="009804CE"/>
    <w:rsid w:val="0099291A"/>
    <w:rsid w:val="009A3AAD"/>
    <w:rsid w:val="009A6E19"/>
    <w:rsid w:val="009C3547"/>
    <w:rsid w:val="009D09B4"/>
    <w:rsid w:val="009E1D6A"/>
    <w:rsid w:val="009F10F5"/>
    <w:rsid w:val="00A12BEA"/>
    <w:rsid w:val="00A422D5"/>
    <w:rsid w:val="00A636E7"/>
    <w:rsid w:val="00A70F00"/>
    <w:rsid w:val="00A77F38"/>
    <w:rsid w:val="00A82345"/>
    <w:rsid w:val="00A87A08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2A15"/>
    <w:rsid w:val="00AE09EB"/>
    <w:rsid w:val="00AE539E"/>
    <w:rsid w:val="00AF7628"/>
    <w:rsid w:val="00B01ACD"/>
    <w:rsid w:val="00B02A8E"/>
    <w:rsid w:val="00B13025"/>
    <w:rsid w:val="00B135C5"/>
    <w:rsid w:val="00B400B6"/>
    <w:rsid w:val="00B42408"/>
    <w:rsid w:val="00B43394"/>
    <w:rsid w:val="00B56099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BC27DC"/>
    <w:rsid w:val="00BC76E7"/>
    <w:rsid w:val="00BD544F"/>
    <w:rsid w:val="00BE0666"/>
    <w:rsid w:val="00BE294D"/>
    <w:rsid w:val="00BF5CA2"/>
    <w:rsid w:val="00C032A1"/>
    <w:rsid w:val="00C04417"/>
    <w:rsid w:val="00C04974"/>
    <w:rsid w:val="00C04FFC"/>
    <w:rsid w:val="00C05F9B"/>
    <w:rsid w:val="00C12CBA"/>
    <w:rsid w:val="00C62D87"/>
    <w:rsid w:val="00C92A9B"/>
    <w:rsid w:val="00CA2440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005"/>
    <w:rsid w:val="00D15FA3"/>
    <w:rsid w:val="00D27E13"/>
    <w:rsid w:val="00D366AC"/>
    <w:rsid w:val="00D4111C"/>
    <w:rsid w:val="00D46887"/>
    <w:rsid w:val="00D57EC8"/>
    <w:rsid w:val="00D61FD2"/>
    <w:rsid w:val="00D702A7"/>
    <w:rsid w:val="00D7108A"/>
    <w:rsid w:val="00D72A3A"/>
    <w:rsid w:val="00D82A74"/>
    <w:rsid w:val="00D944E9"/>
    <w:rsid w:val="00DB4D74"/>
    <w:rsid w:val="00DB59FB"/>
    <w:rsid w:val="00DF6076"/>
    <w:rsid w:val="00E14F6E"/>
    <w:rsid w:val="00E34B79"/>
    <w:rsid w:val="00E40FDB"/>
    <w:rsid w:val="00E64D03"/>
    <w:rsid w:val="00E67BDD"/>
    <w:rsid w:val="00E70C58"/>
    <w:rsid w:val="00EA3330"/>
    <w:rsid w:val="00EE285B"/>
    <w:rsid w:val="00EF6553"/>
    <w:rsid w:val="00F0473F"/>
    <w:rsid w:val="00F06649"/>
    <w:rsid w:val="00F12557"/>
    <w:rsid w:val="00F32F46"/>
    <w:rsid w:val="00F36CBF"/>
    <w:rsid w:val="00F44D0A"/>
    <w:rsid w:val="00F50D6C"/>
    <w:rsid w:val="00F51018"/>
    <w:rsid w:val="00F52C7F"/>
    <w:rsid w:val="00F76D3F"/>
    <w:rsid w:val="00F80D61"/>
    <w:rsid w:val="00F81F9E"/>
    <w:rsid w:val="00F825C4"/>
    <w:rsid w:val="00FB0CD7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MA_3RD_SEM!$A$263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MA_3RD_SEM!$B$263:$F$263</c:f>
              <c:numCache>
                <c:formatCode>0</c:formatCode>
                <c:ptCount val="5"/>
                <c:pt idx="0">
                  <c:v>6.6176470588235299</c:v>
                </c:pt>
                <c:pt idx="1">
                  <c:v>4.4117647058823577</c:v>
                </c:pt>
                <c:pt idx="2">
                  <c:v>5.8823529411764675</c:v>
                </c:pt>
                <c:pt idx="3">
                  <c:v>7.3529411764705861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MA_3RD_SEM!$A$264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MA_3RD_SEM!$B$264:$F$264</c:f>
              <c:numCache>
                <c:formatCode>0</c:formatCode>
                <c:ptCount val="5"/>
                <c:pt idx="0">
                  <c:v>16.911764705882355</c:v>
                </c:pt>
                <c:pt idx="1">
                  <c:v>22.79411764705883</c:v>
                </c:pt>
                <c:pt idx="2">
                  <c:v>26.47058823529412</c:v>
                </c:pt>
                <c:pt idx="3">
                  <c:v>16.176470588235286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MA_3RD_SEM!$A$265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MA_3RD_SEM!$B$265:$F$265</c:f>
              <c:numCache>
                <c:formatCode>0</c:formatCode>
                <c:ptCount val="5"/>
                <c:pt idx="0">
                  <c:v>27.205882352941163</c:v>
                </c:pt>
                <c:pt idx="1">
                  <c:v>29.411764705882355</c:v>
                </c:pt>
                <c:pt idx="2">
                  <c:v>27.941176470588225</c:v>
                </c:pt>
                <c:pt idx="3">
                  <c:v>30.88235294117646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MA_3RD_SEM!$A$266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MA_3RD_SEM!$B$266:$F$266</c:f>
              <c:numCache>
                <c:formatCode>0</c:formatCode>
                <c:ptCount val="5"/>
                <c:pt idx="0">
                  <c:v>49.264705882352963</c:v>
                </c:pt>
                <c:pt idx="1">
                  <c:v>43.382352941176492</c:v>
                </c:pt>
                <c:pt idx="2">
                  <c:v>39.705882352941181</c:v>
                </c:pt>
                <c:pt idx="3">
                  <c:v>45.588235294117652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4491904"/>
        <c:axId val="214493440"/>
        <c:axId val="0"/>
      </c:bar3DChart>
      <c:catAx>
        <c:axId val="214491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493440"/>
        <c:crosses val="autoZero"/>
        <c:auto val="1"/>
        <c:lblAlgn val="ctr"/>
        <c:lblOffset val="100"/>
        <c:noMultiLvlLbl val="0"/>
      </c:catAx>
      <c:valAx>
        <c:axId val="21449344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491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MA_3RD_SEM!$H$263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MA_3RD_SEM!$I$263:$M$263</c:f>
              <c:numCache>
                <c:formatCode>0</c:formatCode>
                <c:ptCount val="5"/>
                <c:pt idx="0">
                  <c:v>6.0301507537688437</c:v>
                </c:pt>
                <c:pt idx="1">
                  <c:v>7.5376884422110564</c:v>
                </c:pt>
                <c:pt idx="2">
                  <c:v>6.5326633165829175</c:v>
                </c:pt>
                <c:pt idx="3">
                  <c:v>5.0251256281406995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MA_3RD_SEM!$H$264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MA_3RD_SEM!$I$264:$M$264</c:f>
              <c:numCache>
                <c:formatCode>0</c:formatCode>
                <c:ptCount val="5"/>
                <c:pt idx="0">
                  <c:v>16.582914572864304</c:v>
                </c:pt>
                <c:pt idx="1">
                  <c:v>16.080402010050239</c:v>
                </c:pt>
                <c:pt idx="2">
                  <c:v>18.090452261306528</c:v>
                </c:pt>
                <c:pt idx="3">
                  <c:v>13.567839195979905</c:v>
                </c:pt>
                <c:pt idx="4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MA_3RD_SEM!$H$265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MA_3RD_SEM!$I$265:$M$265</c:f>
              <c:numCache>
                <c:formatCode>0</c:formatCode>
                <c:ptCount val="5"/>
                <c:pt idx="0">
                  <c:v>25.628140703517587</c:v>
                </c:pt>
                <c:pt idx="1">
                  <c:v>26.13065326633166</c:v>
                </c:pt>
                <c:pt idx="2">
                  <c:v>23.618090452261306</c:v>
                </c:pt>
                <c:pt idx="3">
                  <c:v>23.618090452261306</c:v>
                </c:pt>
                <c:pt idx="4">
                  <c:v>21.428571428571427</c:v>
                </c:pt>
              </c:numCache>
            </c:numRef>
          </c:val>
        </c:ser>
        <c:ser>
          <c:idx val="3"/>
          <c:order val="3"/>
          <c:tx>
            <c:strRef>
              <c:f>MA_3RD_SEM!$H$266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MA_3RD_SEM!$I$266:$M$266</c:f>
              <c:numCache>
                <c:formatCode>0</c:formatCode>
                <c:ptCount val="5"/>
                <c:pt idx="0">
                  <c:v>51.758793969849251</c:v>
                </c:pt>
                <c:pt idx="1">
                  <c:v>50.251256281407024</c:v>
                </c:pt>
                <c:pt idx="2">
                  <c:v>51.758793969849251</c:v>
                </c:pt>
                <c:pt idx="3">
                  <c:v>57.788944723618066</c:v>
                </c:pt>
                <c:pt idx="4">
                  <c:v>64.285714285714292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4854272"/>
        <c:axId val="214860160"/>
        <c:axId val="0"/>
      </c:bar3DChart>
      <c:catAx>
        <c:axId val="21485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860160"/>
        <c:crosses val="autoZero"/>
        <c:auto val="1"/>
        <c:lblAlgn val="ctr"/>
        <c:lblOffset val="100"/>
        <c:noMultiLvlLbl val="0"/>
      </c:catAx>
      <c:valAx>
        <c:axId val="21486016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4854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MA_3RD_SEM!$O$263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MA_3RD_SEM!$P$263:$T$263</c:f>
              <c:numCache>
                <c:formatCode>0</c:formatCode>
                <c:ptCount val="5"/>
                <c:pt idx="0">
                  <c:v>11.940298507462686</c:v>
                </c:pt>
                <c:pt idx="1">
                  <c:v>5.9701492537313463</c:v>
                </c:pt>
                <c:pt idx="2">
                  <c:v>5.9701492537313463</c:v>
                </c:pt>
                <c:pt idx="3">
                  <c:v>7.4626865671641776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MA_3RD_SEM!$O$264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MA_3RD_SEM!$P$264:$T$264</c:f>
              <c:numCache>
                <c:formatCode>0</c:formatCode>
                <c:ptCount val="5"/>
                <c:pt idx="0">
                  <c:v>20.895522388059689</c:v>
                </c:pt>
                <c:pt idx="1">
                  <c:v>20.895522388059689</c:v>
                </c:pt>
                <c:pt idx="2">
                  <c:v>23.88059701492535</c:v>
                </c:pt>
                <c:pt idx="3">
                  <c:v>20.895522388059689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MA_3RD_SEM!$O$265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MA_3RD_SEM!$P$265:$T$265</c:f>
              <c:numCache>
                <c:formatCode>0</c:formatCode>
                <c:ptCount val="5"/>
                <c:pt idx="0">
                  <c:v>31.343283582089544</c:v>
                </c:pt>
                <c:pt idx="1">
                  <c:v>31.343283582089544</c:v>
                </c:pt>
                <c:pt idx="2">
                  <c:v>35.820895522388057</c:v>
                </c:pt>
                <c:pt idx="3">
                  <c:v>31.343283582089544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MA_3RD_SEM!$O$266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MA_3RD_SEM!$P$266:$T$266</c:f>
              <c:numCache>
                <c:formatCode>0</c:formatCode>
                <c:ptCount val="5"/>
                <c:pt idx="0">
                  <c:v>35.820895522388057</c:v>
                </c:pt>
                <c:pt idx="1">
                  <c:v>41.791044776119399</c:v>
                </c:pt>
                <c:pt idx="2">
                  <c:v>34.328358208955265</c:v>
                </c:pt>
                <c:pt idx="3">
                  <c:v>40.298507462686544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5036288"/>
        <c:axId val="215037824"/>
        <c:axId val="0"/>
      </c:bar3DChart>
      <c:catAx>
        <c:axId val="215036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037824"/>
        <c:crosses val="autoZero"/>
        <c:auto val="1"/>
        <c:lblAlgn val="ctr"/>
        <c:lblOffset val="100"/>
        <c:noMultiLvlLbl val="0"/>
      </c:catAx>
      <c:valAx>
        <c:axId val="21503782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036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MA_3RD_SEM!$V$263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MA_3RD_SEM!$W$263:$AA$263</c:f>
              <c:numCache>
                <c:formatCode>0</c:formatCode>
                <c:ptCount val="5"/>
                <c:pt idx="0">
                  <c:v>5.8823529411764675</c:v>
                </c:pt>
                <c:pt idx="1">
                  <c:v>9.8039215686274517</c:v>
                </c:pt>
                <c:pt idx="2">
                  <c:v>1.9607843137254899</c:v>
                </c:pt>
                <c:pt idx="3">
                  <c:v>7.8431372549019605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MA_3RD_SEM!$V$264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MA_3RD_SEM!$W$264:$AA$264</c:f>
              <c:numCache>
                <c:formatCode>0</c:formatCode>
                <c:ptCount val="5"/>
                <c:pt idx="0">
                  <c:v>15.686274509803924</c:v>
                </c:pt>
                <c:pt idx="1">
                  <c:v>13.725490196078432</c:v>
                </c:pt>
                <c:pt idx="2">
                  <c:v>19.607843137254914</c:v>
                </c:pt>
                <c:pt idx="3">
                  <c:v>13.725490196078432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MA_3RD_SEM!$V$265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MA_3RD_SEM!$W$265:$AA$265</c:f>
              <c:numCache>
                <c:formatCode>0</c:formatCode>
                <c:ptCount val="5"/>
                <c:pt idx="0">
                  <c:v>31.372549019607824</c:v>
                </c:pt>
                <c:pt idx="1">
                  <c:v>31.372549019607824</c:v>
                </c:pt>
                <c:pt idx="2">
                  <c:v>27.450980392156865</c:v>
                </c:pt>
                <c:pt idx="3">
                  <c:v>33.333333333333329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MA_3RD_SEM!$V$266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MA_3RD_SEM!$W$266:$AA$266</c:f>
              <c:numCache>
                <c:formatCode>0</c:formatCode>
                <c:ptCount val="5"/>
                <c:pt idx="0">
                  <c:v>47.058823529411754</c:v>
                </c:pt>
                <c:pt idx="1">
                  <c:v>45.098039215686278</c:v>
                </c:pt>
                <c:pt idx="2">
                  <c:v>50.980392156862742</c:v>
                </c:pt>
                <c:pt idx="3">
                  <c:v>45.098039215686278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5075072"/>
        <c:axId val="215220224"/>
        <c:axId val="0"/>
      </c:bar3DChart>
      <c:catAx>
        <c:axId val="215075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220224"/>
        <c:crosses val="autoZero"/>
        <c:auto val="1"/>
        <c:lblAlgn val="ctr"/>
        <c:lblOffset val="100"/>
        <c:noMultiLvlLbl val="0"/>
      </c:catAx>
      <c:valAx>
        <c:axId val="21522022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15075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MA_3RD_SEM!$AF$132:$AF$133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MA_3RD_SEM!$AG$132:$AG$133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6ACD-F500-4ACD-82A7-BFD333E1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4</cp:revision>
  <dcterms:created xsi:type="dcterms:W3CDTF">2018-06-08T06:13:00Z</dcterms:created>
  <dcterms:modified xsi:type="dcterms:W3CDTF">2018-10-16T12:55:00Z</dcterms:modified>
</cp:coreProperties>
</file>