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A12872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9E2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B58A3" w:rsidRPr="00122EF6">
        <w:rPr>
          <w:rFonts w:ascii="Times New Roman" w:hAnsi="Times New Roman" w:cs="Times New Roman"/>
          <w:b/>
          <w:color w:val="FF0000"/>
          <w:sz w:val="24"/>
          <w:szCs w:val="24"/>
        </w:rPr>
        <w:t>IV</w:t>
      </w:r>
      <w:r w:rsidR="009E2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9E2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872">
        <w:rPr>
          <w:rFonts w:ascii="Times New Roman" w:hAnsi="Times New Roman" w:cs="Times New Roman"/>
          <w:b/>
          <w:sz w:val="24"/>
          <w:szCs w:val="24"/>
        </w:rPr>
        <w:t>M. Phil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04FA1">
        <w:rPr>
          <w:rFonts w:ascii="Times New Roman" w:hAnsi="Times New Roman" w:cs="Times New Roman"/>
          <w:b/>
          <w:sz w:val="24"/>
          <w:szCs w:val="24"/>
        </w:rPr>
        <w:t>S</w:t>
      </w:r>
      <w:r w:rsidR="00904FA1" w:rsidRPr="00904FA1">
        <w:rPr>
          <w:rFonts w:ascii="Times New Roman" w:hAnsi="Times New Roman" w:cs="Times New Roman"/>
          <w:b/>
          <w:sz w:val="24"/>
          <w:szCs w:val="24"/>
        </w:rPr>
        <w:t>ociology</w:t>
      </w:r>
      <w:r w:rsidR="009E2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A12872">
        <w:rPr>
          <w:rFonts w:ascii="Times New Roman" w:hAnsi="Times New Roman" w:cs="Times New Roman"/>
          <w:b/>
          <w:sz w:val="24"/>
          <w:szCs w:val="24"/>
        </w:rPr>
        <w:t>6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A12872">
        <w:rPr>
          <w:rFonts w:ascii="Times New Roman" w:hAnsi="Times New Roman" w:cs="Times New Roman"/>
          <w:b/>
          <w:sz w:val="24"/>
          <w:szCs w:val="24"/>
        </w:rPr>
        <w:t>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A12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72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 w:rsidRPr="00A12872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373D21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73D21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F80E45" w:rsidRPr="002D1208" w:rsidRDefault="00F80E45" w:rsidP="00373D2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43707" w:rsidRPr="00AC0CEA" w:rsidTr="00D5531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43707" w:rsidRPr="00AC0CEA" w:rsidTr="00D553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3707" w:rsidRPr="00AC0CEA" w:rsidTr="00D553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3707" w:rsidRPr="00AC0CEA" w:rsidTr="00D553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3707" w:rsidRPr="00AC0CEA" w:rsidTr="00D553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43707" w:rsidRPr="00AC0CEA" w:rsidTr="00D553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43707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4370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14370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4370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4370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14370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43707" w:rsidRDefault="00143707" w:rsidP="00143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143707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625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7A23B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A23B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A23B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7A23B0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23B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F41074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F41074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Pr="00A12872" w:rsidRDefault="003C056A" w:rsidP="00A12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074">
        <w:rPr>
          <w:rFonts w:ascii="Times New Roman" w:hAnsi="Times New Roman" w:cs="Times New Roman"/>
          <w:b/>
          <w:sz w:val="24"/>
          <w:szCs w:val="24"/>
        </w:rPr>
        <w:t>about teachers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C225B5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C225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C225B5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25B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225B5" w:rsidRDefault="00C225B5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2B0682" w:rsidP="002B0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1502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E51D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E51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B0682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B0682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2B068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2292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06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2B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8B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4F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B0682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4F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B0682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B068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B0682" w:rsidRDefault="002B0682" w:rsidP="002B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900734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3395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B7073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00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B7073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2717" w:type="dxa"/>
        <w:tblLook w:val="04A0"/>
      </w:tblPr>
      <w:tblGrid>
        <w:gridCol w:w="1330"/>
        <w:gridCol w:w="1387"/>
      </w:tblGrid>
      <w:tr w:rsidR="00900734" w:rsidRPr="00636C35" w:rsidTr="00900734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900734" w:rsidRDefault="00900734" w:rsidP="009007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900734" w:rsidRDefault="00900734" w:rsidP="009007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900734" w:rsidRPr="00636C35" w:rsidTr="0090073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34" w:rsidRDefault="00900734" w:rsidP="009007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34" w:rsidRDefault="00900734" w:rsidP="009007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:rsidR="00CE3298" w:rsidRDefault="00900734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09950" cy="206692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900734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:rsidR="00CE3298" w:rsidRPr="00705A57" w:rsidRDefault="00900734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043" w:rsidRDefault="00BA3043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485B" w:rsidRDefault="008E485B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043" w:rsidRDefault="00BA3043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BA3043">
              <w:rPr>
                <w:color w:val="000000"/>
                <w:lang w:val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BA3043">
              <w:rPr>
                <w:color w:val="000000"/>
                <w:lang w:val="en-IN"/>
              </w:rPr>
              <w:t>(%)</w:t>
            </w:r>
          </w:p>
        </w:tc>
      </w:tr>
      <w:tr w:rsidR="00BA3043" w:rsidRPr="00636C35" w:rsidTr="0076657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A3043" w:rsidRPr="00636C35" w:rsidTr="0076657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A3043" w:rsidRPr="00636C35" w:rsidTr="0076657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A3043" w:rsidRPr="00636C35" w:rsidTr="0076657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A3043" w:rsidRPr="00636C35" w:rsidTr="0076657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43" w:rsidRDefault="00BA3043" w:rsidP="00BA3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A3043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62525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A304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BA304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BA304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BA304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BA304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2E" w:rsidRDefault="00FF582E" w:rsidP="009569D7">
      <w:pPr>
        <w:spacing w:after="0" w:line="240" w:lineRule="auto"/>
      </w:pPr>
      <w:r>
        <w:separator/>
      </w:r>
    </w:p>
  </w:endnote>
  <w:endnote w:type="continuationSeparator" w:id="1">
    <w:p w:rsidR="00FF582E" w:rsidRDefault="00FF582E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2E" w:rsidRDefault="00FF582E" w:rsidP="009569D7">
      <w:pPr>
        <w:spacing w:after="0" w:line="240" w:lineRule="auto"/>
      </w:pPr>
      <w:r>
        <w:separator/>
      </w:r>
    </w:p>
  </w:footnote>
  <w:footnote w:type="continuationSeparator" w:id="1">
    <w:p w:rsidR="00FF582E" w:rsidRDefault="00FF582E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376BB"/>
    <w:rsid w:val="0014176E"/>
    <w:rsid w:val="001417A3"/>
    <w:rsid w:val="00141B1C"/>
    <w:rsid w:val="00141F11"/>
    <w:rsid w:val="00143707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682"/>
    <w:rsid w:val="002B0EFF"/>
    <w:rsid w:val="002B22F6"/>
    <w:rsid w:val="002B3298"/>
    <w:rsid w:val="002B4CA6"/>
    <w:rsid w:val="002B521A"/>
    <w:rsid w:val="002B7073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0510"/>
    <w:rsid w:val="00371475"/>
    <w:rsid w:val="00371B5E"/>
    <w:rsid w:val="00373D21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4F70F7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3B0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85B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0734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18B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2C6F"/>
    <w:rsid w:val="009E5F54"/>
    <w:rsid w:val="009E606F"/>
    <w:rsid w:val="009E79FD"/>
    <w:rsid w:val="009F457C"/>
    <w:rsid w:val="009F5A17"/>
    <w:rsid w:val="009F6BB1"/>
    <w:rsid w:val="00A01CEF"/>
    <w:rsid w:val="00A12872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3043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812"/>
    <w:rsid w:val="00C16EAB"/>
    <w:rsid w:val="00C20112"/>
    <w:rsid w:val="00C225B5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1D21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07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582E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Sheet6!$A$66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Sheet6!$B$66:$F$66</c:f>
              <c:numCache>
                <c:formatCode>0</c:formatCode>
                <c:ptCount val="5"/>
                <c:pt idx="0">
                  <c:v>9.6153846153846221</c:v>
                </c:pt>
                <c:pt idx="1">
                  <c:v>5.7692307692307692</c:v>
                </c:pt>
                <c:pt idx="2">
                  <c:v>25</c:v>
                </c:pt>
                <c:pt idx="3">
                  <c:v>21.15384615384616</c:v>
                </c:pt>
                <c:pt idx="4">
                  <c:v>22.222222222222207</c:v>
                </c:pt>
              </c:numCache>
            </c:numRef>
          </c:val>
        </c:ser>
        <c:ser>
          <c:idx val="1"/>
          <c:order val="1"/>
          <c:tx>
            <c:strRef>
              <c:f>Sheet6!$A$67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Sheet6!$B$67:$F$67</c:f>
              <c:numCache>
                <c:formatCode>0</c:formatCode>
                <c:ptCount val="5"/>
                <c:pt idx="0">
                  <c:v>19.230769230769216</c:v>
                </c:pt>
                <c:pt idx="1">
                  <c:v>19.230769230769216</c:v>
                </c:pt>
                <c:pt idx="2">
                  <c:v>9.6153846153846221</c:v>
                </c:pt>
                <c:pt idx="3">
                  <c:v>19.230769230769216</c:v>
                </c:pt>
                <c:pt idx="4">
                  <c:v>11.111111111111105</c:v>
                </c:pt>
              </c:numCache>
            </c:numRef>
          </c:val>
        </c:ser>
        <c:ser>
          <c:idx val="2"/>
          <c:order val="2"/>
          <c:tx>
            <c:strRef>
              <c:f>Sheet6!$A$68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Sheet6!$B$68:$F$68</c:f>
              <c:numCache>
                <c:formatCode>0</c:formatCode>
                <c:ptCount val="5"/>
                <c:pt idx="0">
                  <c:v>36.538461538461526</c:v>
                </c:pt>
                <c:pt idx="1">
                  <c:v>25</c:v>
                </c:pt>
                <c:pt idx="2">
                  <c:v>25</c:v>
                </c:pt>
                <c:pt idx="3">
                  <c:v>30.76923076923077</c:v>
                </c:pt>
                <c:pt idx="4">
                  <c:v>11.111111111111105</c:v>
                </c:pt>
              </c:numCache>
            </c:numRef>
          </c:val>
        </c:ser>
        <c:ser>
          <c:idx val="3"/>
          <c:order val="3"/>
          <c:tx>
            <c:strRef>
              <c:f>Sheet6!$A$69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Sheet6!$B$69:$F$69</c:f>
              <c:numCache>
                <c:formatCode>0</c:formatCode>
                <c:ptCount val="5"/>
                <c:pt idx="0">
                  <c:v>34.615384615384592</c:v>
                </c:pt>
                <c:pt idx="1">
                  <c:v>50</c:v>
                </c:pt>
                <c:pt idx="2">
                  <c:v>40.384615384615373</c:v>
                </c:pt>
                <c:pt idx="3">
                  <c:v>28.846153846153836</c:v>
                </c:pt>
                <c:pt idx="4">
                  <c:v>55.555555555555557</c:v>
                </c:pt>
              </c:numCache>
            </c:numRef>
          </c:val>
        </c:ser>
        <c:dLbls>
          <c:showVal val="1"/>
        </c:dLbls>
        <c:shape val="box"/>
        <c:axId val="56884608"/>
        <c:axId val="62915712"/>
        <c:axId val="0"/>
      </c:bar3DChart>
      <c:catAx>
        <c:axId val="56884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15712"/>
        <c:crosses val="autoZero"/>
        <c:auto val="1"/>
        <c:lblAlgn val="ctr"/>
        <c:lblOffset val="100"/>
      </c:catAx>
      <c:valAx>
        <c:axId val="62915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8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Sheet6!$H$63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Sheet6!$I$62:$M$62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Sheet6!$I$63:$M$63</c:f>
              <c:numCache>
                <c:formatCode>0</c:formatCode>
                <c:ptCount val="5"/>
                <c:pt idx="0">
                  <c:v>4.0816326530612272</c:v>
                </c:pt>
                <c:pt idx="1">
                  <c:v>4.0816326530612272</c:v>
                </c:pt>
                <c:pt idx="2">
                  <c:v>26.530612244897952</c:v>
                </c:pt>
                <c:pt idx="3">
                  <c:v>18.367346938775501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Sheet6!$H$64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Sheet6!$I$62:$M$62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Sheet6!$I$64:$M$64</c:f>
              <c:numCache>
                <c:formatCode>0</c:formatCode>
                <c:ptCount val="5"/>
                <c:pt idx="0">
                  <c:v>14.285714285714286</c:v>
                </c:pt>
                <c:pt idx="1">
                  <c:v>8.1632653061224492</c:v>
                </c:pt>
                <c:pt idx="2">
                  <c:v>16.326530612244891</c:v>
                </c:pt>
                <c:pt idx="3">
                  <c:v>14.285714285714286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Sheet6!$H$65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Sheet6!$I$62:$M$62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Sheet6!$I$65:$M$65</c:f>
              <c:numCache>
                <c:formatCode>0</c:formatCode>
                <c:ptCount val="5"/>
                <c:pt idx="0">
                  <c:v>30.612244897959183</c:v>
                </c:pt>
                <c:pt idx="1">
                  <c:v>30.612244897959183</c:v>
                </c:pt>
                <c:pt idx="2">
                  <c:v>20.408163265306122</c:v>
                </c:pt>
                <c:pt idx="3">
                  <c:v>26.530612244897952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Sheet6!$H$66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Sheet6!$I$62:$M$62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Sheet6!$I$66:$M$66</c:f>
              <c:numCache>
                <c:formatCode>0</c:formatCode>
                <c:ptCount val="5"/>
                <c:pt idx="0">
                  <c:v>51.020408163265294</c:v>
                </c:pt>
                <c:pt idx="1">
                  <c:v>57.142857142857139</c:v>
                </c:pt>
                <c:pt idx="2">
                  <c:v>36.734693877551031</c:v>
                </c:pt>
                <c:pt idx="3">
                  <c:v>40.816326530612223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63153280"/>
        <c:axId val="63154816"/>
        <c:axId val="0"/>
      </c:bar3DChart>
      <c:catAx>
        <c:axId val="63153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54816"/>
        <c:crosses val="autoZero"/>
        <c:auto val="1"/>
        <c:lblAlgn val="ctr"/>
        <c:lblOffset val="100"/>
      </c:catAx>
      <c:valAx>
        <c:axId val="63154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5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Sheet6!$O$29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Sheet6!$P$28:$T$28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Sheet6!$P$29:$T$29</c:f>
              <c:numCache>
                <c:formatCode>0</c:formatCode>
                <c:ptCount val="5"/>
                <c:pt idx="0">
                  <c:v>20</c:v>
                </c:pt>
                <c:pt idx="1">
                  <c:v>13.333333333333334</c:v>
                </c:pt>
                <c:pt idx="2">
                  <c:v>26.666666666666668</c:v>
                </c:pt>
                <c:pt idx="3">
                  <c:v>26.666666666666668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Sheet6!$O$30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Sheet6!$P$28:$T$28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Sheet6!$P$30:$T$30</c:f>
              <c:numCache>
                <c:formatCode>0</c:formatCode>
                <c:ptCount val="5"/>
                <c:pt idx="0">
                  <c:v>20</c:v>
                </c:pt>
                <c:pt idx="1">
                  <c:v>13.333333333333334</c:v>
                </c:pt>
                <c:pt idx="2">
                  <c:v>20</c:v>
                </c:pt>
                <c:pt idx="3">
                  <c:v>13.333333333333334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Sheet6!$O$31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Sheet6!$P$28:$T$28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Sheet6!$P$31:$T$31</c:f>
              <c:numCache>
                <c:formatCode>0</c:formatCode>
                <c:ptCount val="5"/>
                <c:pt idx="0">
                  <c:v>33.333333333333329</c:v>
                </c:pt>
                <c:pt idx="1">
                  <c:v>46.666666666666636</c:v>
                </c:pt>
                <c:pt idx="2">
                  <c:v>33.333333333333329</c:v>
                </c:pt>
                <c:pt idx="3">
                  <c:v>40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Sheet6!$O$32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Sheet6!$P$28:$T$28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Sheet6!$P$32:$T$32</c:f>
              <c:numCache>
                <c:formatCode>0</c:formatCode>
                <c:ptCount val="5"/>
                <c:pt idx="0">
                  <c:v>26.666666666666668</c:v>
                </c:pt>
                <c:pt idx="1">
                  <c:v>26.666666666666668</c:v>
                </c:pt>
                <c:pt idx="2">
                  <c:v>20</c:v>
                </c:pt>
                <c:pt idx="3">
                  <c:v>20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63371904"/>
        <c:axId val="72520064"/>
        <c:axId val="0"/>
      </c:bar3DChart>
      <c:catAx>
        <c:axId val="6337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520064"/>
        <c:crosses val="autoZero"/>
        <c:auto val="1"/>
        <c:lblAlgn val="ctr"/>
        <c:lblOffset val="100"/>
      </c:catAx>
      <c:valAx>
        <c:axId val="72520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7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  <a:r>
              <a:rPr lang="en-US" baseline="0"/>
              <a:t>  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Sheet6!$V$27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Sheet6!$W$26:$AA$26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Sheet6!$W$27:$AA$27</c:f>
              <c:numCache>
                <c:formatCode>0</c:formatCode>
                <c:ptCount val="5"/>
                <c:pt idx="0">
                  <c:v>9.0909090909090953</c:v>
                </c:pt>
                <c:pt idx="1">
                  <c:v>16.666666666666664</c:v>
                </c:pt>
                <c:pt idx="2">
                  <c:v>35.294117647058854</c:v>
                </c:pt>
                <c:pt idx="3">
                  <c:v>31.25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Sheet6!$V$28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Sheet6!$W$26:$AA$26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Sheet6!$W$28:$AA$28</c:f>
              <c:numCache>
                <c:formatCode>0</c:formatCode>
                <c:ptCount val="5"/>
                <c:pt idx="0">
                  <c:v>9.0909090909090953</c:v>
                </c:pt>
                <c:pt idx="1">
                  <c:v>16.666666666666664</c:v>
                </c:pt>
                <c:pt idx="2">
                  <c:v>35.294117647058854</c:v>
                </c:pt>
                <c:pt idx="3">
                  <c:v>31.25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Sheet6!$V$29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Sheet6!$W$26:$AA$26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Sheet6!$W$29:$AA$29</c:f>
              <c:numCache>
                <c:formatCode>0</c:formatCode>
                <c:ptCount val="5"/>
                <c:pt idx="0">
                  <c:v>27.272727272727249</c:v>
                </c:pt>
                <c:pt idx="1">
                  <c:v>33.333333333333329</c:v>
                </c:pt>
                <c:pt idx="2">
                  <c:v>5.8823529411764683</c:v>
                </c:pt>
                <c:pt idx="3">
                  <c:v>18.75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Sheet6!$V$30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Sheet6!$W$26:$AA$26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Sheet6!$W$30:$AA$30</c:f>
              <c:numCache>
                <c:formatCode>0</c:formatCode>
                <c:ptCount val="5"/>
                <c:pt idx="0">
                  <c:v>54.54545454545454</c:v>
                </c:pt>
                <c:pt idx="1">
                  <c:v>33.333333333333329</c:v>
                </c:pt>
                <c:pt idx="2">
                  <c:v>23.52941176470588</c:v>
                </c:pt>
                <c:pt idx="3">
                  <c:v>18.75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77521280"/>
        <c:axId val="77522816"/>
        <c:axId val="0"/>
      </c:bar3DChart>
      <c:catAx>
        <c:axId val="77521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522816"/>
        <c:crosses val="autoZero"/>
        <c:auto val="1"/>
        <c:lblAlgn val="ctr"/>
        <c:lblOffset val="100"/>
      </c:catAx>
      <c:valAx>
        <c:axId val="77522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52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Sheet6!$AE$30:$AF$30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Sheet6!$AE$31:$AF$31</c:f>
              <c:numCache>
                <c:formatCode>0</c:formatCode>
                <c:ptCount val="2"/>
                <c:pt idx="0">
                  <c:v>28.571428571428569</c:v>
                </c:pt>
                <c:pt idx="1">
                  <c:v>71.428571428571402</c:v>
                </c:pt>
              </c:numCache>
            </c:numRef>
          </c:val>
        </c:ser>
        <c:dLbls>
          <c:showVal val="1"/>
        </c:dLbls>
        <c:shape val="box"/>
        <c:axId val="77904128"/>
        <c:axId val="77914112"/>
        <c:axId val="0"/>
      </c:bar3DChart>
      <c:catAx>
        <c:axId val="77904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14112"/>
        <c:crosses val="autoZero"/>
        <c:auto val="1"/>
        <c:lblAlgn val="ctr"/>
        <c:lblOffset val="100"/>
      </c:catAx>
      <c:valAx>
        <c:axId val="77914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0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Sheet6!$AL$20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Sheet6!$AH$21:$AH$25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Sheet6!$AL$21:$AL$25</c:f>
              <c:numCache>
                <c:formatCode>0</c:formatCode>
                <c:ptCount val="5"/>
                <c:pt idx="0">
                  <c:v>90.909090909090907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Sheet6!$AM$20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Sheet6!$AH$21:$AH$25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Sheet6!$AM$21:$AM$25</c:f>
              <c:numCache>
                <c:formatCode>0</c:formatCode>
                <c:ptCount val="5"/>
                <c:pt idx="0">
                  <c:v>9.0909090909090953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8054528"/>
        <c:axId val="78056064"/>
        <c:axId val="0"/>
      </c:bar3DChart>
      <c:catAx>
        <c:axId val="78054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056064"/>
        <c:crosses val="autoZero"/>
        <c:auto val="1"/>
        <c:lblAlgn val="ctr"/>
        <c:lblOffset val="100"/>
      </c:catAx>
      <c:valAx>
        <c:axId val="7805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05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D7BD-24AB-4C08-87FF-572984C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43</cp:revision>
  <dcterms:created xsi:type="dcterms:W3CDTF">2018-06-30T10:55:00Z</dcterms:created>
  <dcterms:modified xsi:type="dcterms:W3CDTF">2010-01-01T00:20:00Z</dcterms:modified>
</cp:coreProperties>
</file>