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241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EF6">
        <w:rPr>
          <w:rFonts w:ascii="Times New Roman" w:hAnsi="Times New Roman" w:cs="Times New Roman"/>
          <w:b/>
          <w:sz w:val="24"/>
          <w:szCs w:val="24"/>
        </w:rPr>
        <w:t>M.A.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II Year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04FA1">
        <w:rPr>
          <w:rFonts w:ascii="Times New Roman" w:hAnsi="Times New Roman" w:cs="Times New Roman"/>
          <w:b/>
          <w:sz w:val="24"/>
          <w:szCs w:val="24"/>
        </w:rPr>
        <w:t>S</w:t>
      </w:r>
      <w:r w:rsidR="00904FA1" w:rsidRPr="00904FA1">
        <w:rPr>
          <w:rFonts w:ascii="Times New Roman" w:hAnsi="Times New Roman" w:cs="Times New Roman"/>
          <w:b/>
          <w:sz w:val="24"/>
          <w:szCs w:val="24"/>
        </w:rPr>
        <w:t>ociology</w:t>
      </w:r>
      <w:r w:rsidR="00241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122EF6">
        <w:rPr>
          <w:rFonts w:ascii="Times New Roman" w:hAnsi="Times New Roman" w:cs="Times New Roman"/>
          <w:b/>
          <w:sz w:val="24"/>
          <w:szCs w:val="24"/>
        </w:rPr>
        <w:t>3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122EF6">
        <w:rPr>
          <w:rFonts w:ascii="Times New Roman" w:hAnsi="Times New Roman" w:cs="Times New Roman"/>
          <w:b/>
          <w:sz w:val="24"/>
          <w:szCs w:val="24"/>
        </w:rPr>
        <w:t>4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24177C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24177C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24177C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F80E45" w:rsidRPr="002D1208" w:rsidRDefault="00F80E45" w:rsidP="0024177C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sub5</w:t>
            </w:r>
          </w:p>
        </w:tc>
      </w:tr>
      <w:tr w:rsidR="00420FC6" w:rsidRPr="00AC0CEA" w:rsidTr="0030523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20FC6" w:rsidRPr="00AC0CEA" w:rsidRDefault="00420FC6" w:rsidP="00420F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20FC6" w:rsidRPr="00AC0CEA" w:rsidTr="0030523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20FC6" w:rsidRPr="00AC0CEA" w:rsidRDefault="00420FC6" w:rsidP="00420F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20FC6" w:rsidRPr="00AC0CEA" w:rsidTr="0030523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20FC6" w:rsidRPr="00AC0CEA" w:rsidRDefault="00420FC6" w:rsidP="00420F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20FC6" w:rsidRPr="00AC0CEA" w:rsidTr="0030523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20FC6" w:rsidRPr="00AC0CEA" w:rsidRDefault="00420FC6" w:rsidP="00420F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20FC6" w:rsidRPr="00AC0CEA" w:rsidTr="0030523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20FC6" w:rsidRPr="00AC0CEA" w:rsidRDefault="00420FC6" w:rsidP="00420F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20FC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20FC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20FC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20FC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420FC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20FC6" w:rsidRDefault="00420FC6" w:rsidP="00420FC6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420FC6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197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420FC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20FC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20FC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420FC6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0FC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77C">
        <w:rPr>
          <w:rFonts w:ascii="Times New Roman" w:hAnsi="Times New Roman" w:cs="Times New Roman"/>
          <w:b/>
          <w:sz w:val="24"/>
          <w:szCs w:val="24"/>
        </w:rPr>
        <w:t>about teachers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A597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A5976" w:rsidRDefault="006A5976" w:rsidP="006A59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6A5976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674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D0EA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597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241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</w:t>
      </w:r>
      <w:r w:rsidR="00241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80C3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80C3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80C3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80C36" w:rsidRDefault="00280C36" w:rsidP="00280C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280C36" w:rsidP="00280C3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61022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80C3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C0D68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6D4473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5209F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5209F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B5209F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5209F" w:rsidRDefault="00B5209F" w:rsidP="00B520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B5209F" w:rsidP="00B5209F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530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4177C">
        <w:rPr>
          <w:rFonts w:ascii="Times New Roman" w:hAnsi="Times New Roman" w:cs="Times New Roman"/>
          <w:sz w:val="24"/>
          <w:szCs w:val="24"/>
        </w:rPr>
        <w:t xml:space="preserve">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4177C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73360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209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73360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="002A1D17">
        <w:rPr>
          <w:rFonts w:ascii="Times New Roman" w:hAnsi="Times New Roman" w:cs="Times New Roman"/>
          <w:b/>
          <w:sz w:val="24"/>
          <w:szCs w:val="24"/>
        </w:rPr>
        <w:t>4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717" w:type="dxa"/>
        <w:tblLook w:val="04A0"/>
      </w:tblPr>
      <w:tblGrid>
        <w:gridCol w:w="1330"/>
        <w:gridCol w:w="1387"/>
      </w:tblGrid>
      <w:tr w:rsidR="00BE5E63" w:rsidRPr="00636C35" w:rsidTr="00BE5E6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E5E63" w:rsidRPr="00A733B7" w:rsidRDefault="00BE5E63" w:rsidP="00BE5E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BE5E63" w:rsidRPr="00A733B7" w:rsidRDefault="00BE5E63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</w:t>
            </w:r>
          </w:p>
        </w:tc>
      </w:tr>
      <w:tr w:rsidR="00BE5E63" w:rsidRPr="00636C35" w:rsidTr="00BE5E6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63" w:rsidRDefault="00BE5E63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63" w:rsidRDefault="00BE5E63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BE5E6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15716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BE5E63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:rsidR="00CE3298" w:rsidRPr="00705A57" w:rsidRDefault="00BE5E63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6AF" w:rsidRDefault="00E566AF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6AF" w:rsidRDefault="00E566AF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6AF" w:rsidRDefault="00E566AF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6AF" w:rsidRDefault="00E566AF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9B9" w:rsidRDefault="006149B9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E566AF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E566AF">
              <w:rPr>
                <w:color w:val="000000"/>
                <w:lang w:val="en-IN"/>
              </w:rPr>
              <w:t xml:space="preserve"> (%)</w:t>
            </w:r>
          </w:p>
        </w:tc>
      </w:tr>
      <w:tr w:rsidR="00E566AF" w:rsidRPr="00636C35" w:rsidTr="00EB2065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66AF" w:rsidRPr="00636C35" w:rsidTr="00E566A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66AF" w:rsidRPr="00636C35" w:rsidTr="00E566A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566AF" w:rsidRPr="00636C35" w:rsidTr="00E566A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566AF" w:rsidRPr="00636C35" w:rsidTr="00E566AF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AF" w:rsidRDefault="00E566AF" w:rsidP="00E566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E566AF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E566AF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E566AF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E566AF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E566AF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E566AF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67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4C" w:rsidRDefault="001B784C" w:rsidP="009569D7">
      <w:pPr>
        <w:spacing w:after="0" w:line="240" w:lineRule="auto"/>
      </w:pPr>
      <w:r>
        <w:separator/>
      </w:r>
    </w:p>
  </w:endnote>
  <w:endnote w:type="continuationSeparator" w:id="1">
    <w:p w:rsidR="001B784C" w:rsidRDefault="001B784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4C" w:rsidRDefault="001B784C" w:rsidP="009569D7">
      <w:pPr>
        <w:spacing w:after="0" w:line="240" w:lineRule="auto"/>
      </w:pPr>
      <w:r>
        <w:separator/>
      </w:r>
    </w:p>
  </w:footnote>
  <w:footnote w:type="continuationSeparator" w:id="1">
    <w:p w:rsidR="001B784C" w:rsidRDefault="001B784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1D29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B784C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177C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0C36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0FC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21A9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9B9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3360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5976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1271"/>
    <w:rsid w:val="006D2508"/>
    <w:rsid w:val="006D2A83"/>
    <w:rsid w:val="006D447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209F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78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5E63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566AF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0D68"/>
    <w:rsid w:val="00FC1D24"/>
    <w:rsid w:val="00FC305A"/>
    <w:rsid w:val="00FD0B08"/>
    <w:rsid w:val="00FD0EA4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sociolog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sociolog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Sheet1!$A$68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Sheet1!$B$68:$F$68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Sheet1!$A$69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Sheet1!$B$69:$F$69</c:f>
              <c:numCache>
                <c:formatCode>General</c:formatCode>
                <c:ptCount val="5"/>
                <c:pt idx="0">
                  <c:v>14.000000000000002</c:v>
                </c:pt>
                <c:pt idx="1">
                  <c:v>8</c:v>
                </c:pt>
                <c:pt idx="2" formatCode="0">
                  <c:v>1.923076923076924</c:v>
                </c:pt>
                <c:pt idx="3" formatCode="0">
                  <c:v>9.6153846153846274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Sheet1!$A$70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Sheet1!$B$70:$F$70</c:f>
              <c:numCache>
                <c:formatCode>General</c:formatCode>
                <c:ptCount val="5"/>
                <c:pt idx="0">
                  <c:v>30</c:v>
                </c:pt>
                <c:pt idx="1">
                  <c:v>32</c:v>
                </c:pt>
                <c:pt idx="2" formatCode="0">
                  <c:v>36.538461538461526</c:v>
                </c:pt>
                <c:pt idx="3" formatCode="0">
                  <c:v>25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Sheet1!$A$71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Sheet1!$B$71:$F$71</c:f>
              <c:numCache>
                <c:formatCode>General</c:formatCode>
                <c:ptCount val="5"/>
                <c:pt idx="0">
                  <c:v>52</c:v>
                </c:pt>
                <c:pt idx="1">
                  <c:v>56.000000000000007</c:v>
                </c:pt>
                <c:pt idx="2" formatCode="0">
                  <c:v>61.53846153846154</c:v>
                </c:pt>
                <c:pt idx="3" formatCode="0">
                  <c:v>65.384615384615444</c:v>
                </c:pt>
                <c:pt idx="4">
                  <c:v>100</c:v>
                </c:pt>
              </c:numCache>
            </c:numRef>
          </c:val>
        </c:ser>
        <c:dLbls>
          <c:showVal val="1"/>
        </c:dLbls>
        <c:shape val="box"/>
        <c:axId val="55331840"/>
        <c:axId val="55362304"/>
        <c:axId val="0"/>
      </c:bar3DChart>
      <c:catAx>
        <c:axId val="55331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62304"/>
        <c:crosses val="autoZero"/>
        <c:auto val="1"/>
        <c:lblAlgn val="ctr"/>
        <c:lblOffset val="100"/>
      </c:catAx>
      <c:valAx>
        <c:axId val="55362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3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Sheet1!$H$84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Sheet1!$I$83:$M$83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Sheet1!$I$84:$M$84</c:f>
              <c:numCache>
                <c:formatCode>0</c:formatCode>
                <c:ptCount val="5"/>
                <c:pt idx="0">
                  <c:v>0</c:v>
                </c:pt>
                <c:pt idx="1">
                  <c:v>4.4117647058823595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Sheet1!$H$85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Sheet1!$I$83:$M$83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Sheet1!$I$85:$M$85</c:f>
              <c:numCache>
                <c:formatCode>0</c:formatCode>
                <c:ptCount val="5"/>
                <c:pt idx="0">
                  <c:v>11.76470588235294</c:v>
                </c:pt>
                <c:pt idx="1">
                  <c:v>41.17647058823529</c:v>
                </c:pt>
                <c:pt idx="2">
                  <c:v>7.2463768115942031</c:v>
                </c:pt>
                <c:pt idx="3">
                  <c:v>2.8985507246376807</c:v>
                </c:pt>
                <c:pt idx="4">
                  <c:v>66.666666666666657</c:v>
                </c:pt>
              </c:numCache>
            </c:numRef>
          </c:val>
        </c:ser>
        <c:ser>
          <c:idx val="2"/>
          <c:order val="2"/>
          <c:tx>
            <c:strRef>
              <c:f>Sheet1!$H$86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Sheet1!$I$83:$M$83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Sheet1!$I$86:$M$86</c:f>
              <c:numCache>
                <c:formatCode>0</c:formatCode>
                <c:ptCount val="5"/>
                <c:pt idx="0">
                  <c:v>39.705882352941181</c:v>
                </c:pt>
                <c:pt idx="1">
                  <c:v>54.411764705882291</c:v>
                </c:pt>
                <c:pt idx="2">
                  <c:v>40.579710144927574</c:v>
                </c:pt>
                <c:pt idx="3">
                  <c:v>44.927536231884062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Sheet1!$H$87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Sheet1!$I$83:$M$83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Sheet1!$I$87:$M$87</c:f>
              <c:numCache>
                <c:formatCode>0</c:formatCode>
                <c:ptCount val="5"/>
                <c:pt idx="0">
                  <c:v>48.529411764705912</c:v>
                </c:pt>
                <c:pt idx="1">
                  <c:v>100</c:v>
                </c:pt>
                <c:pt idx="2">
                  <c:v>52.173913043478287</c:v>
                </c:pt>
                <c:pt idx="3">
                  <c:v>52.173913043478287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shape val="box"/>
        <c:axId val="85472000"/>
        <c:axId val="85473536"/>
        <c:axId val="0"/>
      </c:bar3DChart>
      <c:catAx>
        <c:axId val="85472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473536"/>
        <c:crosses val="autoZero"/>
        <c:auto val="1"/>
        <c:lblAlgn val="ctr"/>
        <c:lblOffset val="100"/>
      </c:catAx>
      <c:valAx>
        <c:axId val="85473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47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Sheet1!$O$54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Sheet1!$P$53:$T$53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Sheet1!$P$54:$T$54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Sheet1!$O$55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Sheet1!$P$53:$T$53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Sheet1!$P$55:$T$55</c:f>
              <c:numCache>
                <c:formatCode>0</c:formatCode>
                <c:ptCount val="5"/>
                <c:pt idx="0">
                  <c:v>2.6315789473684208</c:v>
                </c:pt>
                <c:pt idx="1">
                  <c:v>7.6923076923076925</c:v>
                </c:pt>
                <c:pt idx="2">
                  <c:v>0</c:v>
                </c:pt>
                <c:pt idx="3">
                  <c:v>2.7027027027027044</c:v>
                </c:pt>
                <c:pt idx="4">
                  <c:v>11.111111111111098</c:v>
                </c:pt>
              </c:numCache>
            </c:numRef>
          </c:val>
        </c:ser>
        <c:ser>
          <c:idx val="2"/>
          <c:order val="2"/>
          <c:tx>
            <c:strRef>
              <c:f>Sheet1!$O$56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Sheet1!$P$53:$T$53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Sheet1!$P$56:$T$56</c:f>
              <c:numCache>
                <c:formatCode>0</c:formatCode>
                <c:ptCount val="5"/>
                <c:pt idx="0">
                  <c:v>31.578947368421037</c:v>
                </c:pt>
                <c:pt idx="1">
                  <c:v>25.641025641025639</c:v>
                </c:pt>
                <c:pt idx="2">
                  <c:v>30.76923076923077</c:v>
                </c:pt>
                <c:pt idx="3">
                  <c:v>32.432432432432435</c:v>
                </c:pt>
                <c:pt idx="4">
                  <c:v>11.111111111111098</c:v>
                </c:pt>
              </c:numCache>
            </c:numRef>
          </c:val>
        </c:ser>
        <c:ser>
          <c:idx val="3"/>
          <c:order val="3"/>
          <c:tx>
            <c:strRef>
              <c:f>Sheet1!$O$57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Sheet1!$P$53:$T$53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Sheet1!$P$57:$T$57</c:f>
              <c:numCache>
                <c:formatCode>0</c:formatCode>
                <c:ptCount val="5"/>
                <c:pt idx="0">
                  <c:v>65.789473684210606</c:v>
                </c:pt>
                <c:pt idx="1">
                  <c:v>66.666666666666657</c:v>
                </c:pt>
                <c:pt idx="2">
                  <c:v>69.230769230769212</c:v>
                </c:pt>
                <c:pt idx="3">
                  <c:v>64.86486486486487</c:v>
                </c:pt>
                <c:pt idx="4">
                  <c:v>77.777777777777729</c:v>
                </c:pt>
              </c:numCache>
            </c:numRef>
          </c:val>
        </c:ser>
        <c:dLbls>
          <c:showVal val="1"/>
        </c:dLbls>
        <c:shape val="box"/>
        <c:axId val="95688960"/>
        <c:axId val="95731712"/>
        <c:axId val="0"/>
      </c:bar3DChart>
      <c:catAx>
        <c:axId val="9568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731712"/>
        <c:crosses val="autoZero"/>
        <c:auto val="1"/>
        <c:lblAlgn val="ctr"/>
        <c:lblOffset val="100"/>
      </c:catAx>
      <c:valAx>
        <c:axId val="95731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68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Sheet1!$V$37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Sheet1!$W$36:$AA$36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Sheet1!$W$37:$AA$37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Sheet1!$V$38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Sheet1!$W$36:$AA$36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Sheet1!$W$38:$AA$38</c:f>
              <c:numCache>
                <c:formatCode>0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4.7619047619047619</c:v>
                </c:pt>
                <c:pt idx="3">
                  <c:v>9.0909090909090988</c:v>
                </c:pt>
                <c:pt idx="4">
                  <c:v>8.3333333333333321</c:v>
                </c:pt>
              </c:numCache>
            </c:numRef>
          </c:val>
        </c:ser>
        <c:ser>
          <c:idx val="2"/>
          <c:order val="2"/>
          <c:tx>
            <c:strRef>
              <c:f>Sheet1!$V$39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Sheet1!$W$36:$AA$36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Sheet1!$W$39:$AA$39</c:f>
              <c:numCache>
                <c:formatCode>0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14.285714285714286</c:v>
                </c:pt>
                <c:pt idx="3">
                  <c:v>4.5454545454545459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Sheet1!$V$40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Sheet1!$W$36:$AA$36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Sheet1!$W$40:$AA$40</c:f>
              <c:numCache>
                <c:formatCode>0</c:formatCode>
                <c:ptCount val="5"/>
                <c:pt idx="0">
                  <c:v>80</c:v>
                </c:pt>
                <c:pt idx="1">
                  <c:v>100</c:v>
                </c:pt>
                <c:pt idx="2">
                  <c:v>80.952380952380864</c:v>
                </c:pt>
                <c:pt idx="3">
                  <c:v>86.363636363636303</c:v>
                </c:pt>
                <c:pt idx="4">
                  <c:v>91.666666666666657</c:v>
                </c:pt>
              </c:numCache>
            </c:numRef>
          </c:val>
        </c:ser>
        <c:dLbls>
          <c:showVal val="1"/>
        </c:dLbls>
        <c:shape val="box"/>
        <c:axId val="96468992"/>
        <c:axId val="96470528"/>
        <c:axId val="0"/>
      </c:bar3DChart>
      <c:catAx>
        <c:axId val="96468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70528"/>
        <c:crosses val="autoZero"/>
        <c:auto val="1"/>
        <c:lblAlgn val="ctr"/>
        <c:lblOffset val="100"/>
      </c:catAx>
      <c:valAx>
        <c:axId val="96470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6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(Sheet1!$AC$29,Sheet1!$AC$30)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(Sheet1!$AE$29,Sheet1!$AE$30)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box"/>
        <c:axId val="96487296"/>
        <c:axId val="96488832"/>
        <c:axId val="0"/>
      </c:bar3DChart>
      <c:catAx>
        <c:axId val="96487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88832"/>
        <c:crosses val="autoZero"/>
        <c:auto val="1"/>
        <c:lblAlgn val="ctr"/>
        <c:lblOffset val="100"/>
      </c:catAx>
      <c:valAx>
        <c:axId val="96488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8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Sheet1!$AL$12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Sheet1!$AH$13:$AH$17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Sheet1!$AL$13:$AL$17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66.666666666666657</c:v>
                </c:pt>
                <c:pt idx="3">
                  <c:v>66.666666666666657</c:v>
                </c:pt>
                <c:pt idx="4">
                  <c:v>66.666666666666657</c:v>
                </c:pt>
              </c:numCache>
            </c:numRef>
          </c:val>
        </c:ser>
        <c:ser>
          <c:idx val="1"/>
          <c:order val="1"/>
          <c:tx>
            <c:strRef>
              <c:f>Sheet1!$AM$12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Sheet1!$AH$13:$AH$17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Sheet1!$AM$13:$AM$17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33.333333333333329</c:v>
                </c:pt>
                <c:pt idx="3">
                  <c:v>33.333333333333329</c:v>
                </c:pt>
                <c:pt idx="4">
                  <c:v>33.333333333333329</c:v>
                </c:pt>
              </c:numCache>
            </c:numRef>
          </c:val>
        </c:ser>
        <c:dLbls>
          <c:showVal val="1"/>
        </c:dLbls>
        <c:shape val="box"/>
        <c:axId val="96862976"/>
        <c:axId val="96864512"/>
        <c:axId val="0"/>
      </c:bar3DChart>
      <c:catAx>
        <c:axId val="96862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864512"/>
        <c:crosses val="autoZero"/>
        <c:auto val="1"/>
        <c:lblAlgn val="ctr"/>
        <c:lblOffset val="100"/>
      </c:catAx>
      <c:valAx>
        <c:axId val="96864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86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277F-1418-4ADE-B4BE-80BD3270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28</cp:revision>
  <dcterms:created xsi:type="dcterms:W3CDTF">2018-06-30T10:55:00Z</dcterms:created>
  <dcterms:modified xsi:type="dcterms:W3CDTF">2010-01-01T00:08:00Z</dcterms:modified>
</cp:coreProperties>
</file>