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5E4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358DB" w:rsidRPr="00E6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2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5E4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E6011B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E33A38">
        <w:rPr>
          <w:rFonts w:ascii="Times New Roman" w:hAnsi="Times New Roman" w:cs="Times New Roman"/>
          <w:b/>
          <w:sz w:val="24"/>
          <w:szCs w:val="24"/>
        </w:rPr>
        <w:t>A</w:t>
      </w:r>
      <w:r w:rsidR="00E601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11B" w:rsidRPr="00E6011B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E33A38">
        <w:rPr>
          <w:rFonts w:ascii="Times New Roman" w:hAnsi="Times New Roman" w:cs="Times New Roman"/>
          <w:b/>
          <w:sz w:val="24"/>
          <w:szCs w:val="24"/>
        </w:rPr>
        <w:t>Sanskrit 2016-2017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80E45" w:rsidRPr="00636C35" w:rsidRDefault="00F80E45" w:rsidP="00E33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E6011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 w:rsidR="00D2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="00E6011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E60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A38">
        <w:rPr>
          <w:rFonts w:ascii="Times New Roman" w:hAnsi="Times New Roman" w:cs="Times New Roman"/>
          <w:b/>
          <w:sz w:val="24"/>
          <w:szCs w:val="24"/>
        </w:rPr>
        <w:t xml:space="preserve">M. A. </w:t>
      </w:r>
      <w:r w:rsidR="00E33A38" w:rsidRPr="00E6011B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E33A38">
        <w:rPr>
          <w:rFonts w:ascii="Times New Roman" w:hAnsi="Times New Roman" w:cs="Times New Roman"/>
          <w:b/>
          <w:sz w:val="24"/>
          <w:szCs w:val="24"/>
        </w:rPr>
        <w:t>Sanskrit 2016-2017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definedidentified</w:t>
      </w:r>
      <w:proofErr w:type="spellEnd"/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E470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5E4706" w:rsidRDefault="005E4706" w:rsidP="005E470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F80E45" w:rsidP="005E470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9F3B37" w:rsidRPr="00AC0CEA" w:rsidTr="00BD6FB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9F3B37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9F3B37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</w:tr>
      <w:tr w:rsidR="009F3B37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</w:tr>
      <w:tr w:rsidR="009F3B37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F3B37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5E4706"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9F3B37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9F3B3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9F3B3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9F3B3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9F3B3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9F3B3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F3B37" w:rsidRDefault="009F3B37" w:rsidP="009F3B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9F3B37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5785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2607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>:</w:t>
      </w:r>
    </w:p>
    <w:p w:rsidR="00B45248" w:rsidRPr="00236F1C" w:rsidRDefault="00F95CC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F95CC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F95CC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F95CCE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2607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E2607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07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07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F95CC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5E4706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5E4706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C74E99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C74E99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C74E99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515100" cy="27432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E2607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1: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2607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2: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E2607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3: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07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4: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07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5: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>Teacher of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9F3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E6011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 w:rsidR="00E6011B" w:rsidRPr="00E6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C7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E6011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E60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F">
        <w:rPr>
          <w:rFonts w:ascii="Times New Roman" w:hAnsi="Times New Roman" w:cs="Times New Roman"/>
          <w:b/>
          <w:sz w:val="24"/>
          <w:szCs w:val="24"/>
        </w:rPr>
        <w:t xml:space="preserve">M. A. </w:t>
      </w:r>
      <w:r w:rsidR="009F376F" w:rsidRPr="00E6011B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9F376F">
        <w:rPr>
          <w:rFonts w:ascii="Times New Roman" w:hAnsi="Times New Roman" w:cs="Times New Roman"/>
          <w:b/>
          <w:sz w:val="24"/>
          <w:szCs w:val="24"/>
        </w:rPr>
        <w:t>Sanskrit 2016-2017</w:t>
      </w:r>
      <w:r w:rsidRPr="00636C35">
        <w:rPr>
          <w:rFonts w:ascii="Times New Roman" w:hAnsi="Times New Roman" w:cs="Times New Roman"/>
          <w:b/>
          <w:sz w:val="24"/>
          <w:szCs w:val="24"/>
        </w:rPr>
        <w:t>aboutProjects/Seminars/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C74E99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C74E99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C74E99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74E99" w:rsidRDefault="00C74E99" w:rsidP="00C74E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C74E99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74E9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E4706">
        <w:rPr>
          <w:rFonts w:ascii="Times New Roman" w:hAnsi="Times New Roman" w:cs="Times New Roman"/>
          <w:sz w:val="24"/>
          <w:szCs w:val="24"/>
        </w:rPr>
        <w:t xml:space="preserve">Project/Seminar / assignments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E540BD" w:rsidRDefault="00E540BD" w:rsidP="00E540B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F468A" w:rsidRPr="00AC0CEA" w:rsidTr="00AA387B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EF468A" w:rsidRPr="00AC0CEA" w:rsidTr="00AA387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EF468A" w:rsidRPr="00AC0CEA" w:rsidTr="00AA387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EF468A" w:rsidRPr="00AC0CEA" w:rsidTr="00AA387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F468A" w:rsidRPr="00AC0CEA" w:rsidTr="00AA387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F468A" w:rsidRPr="00AC0CEA" w:rsidTr="00AA387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</w:tbl>
    <w:p w:rsidR="00E540BD" w:rsidRDefault="00E540BD" w:rsidP="00E540B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0BD" w:rsidRDefault="00E540BD" w:rsidP="00E540B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F468A" w:rsidRPr="00AC0CEA" w:rsidTr="00AA387B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EF468A" w:rsidRPr="00AC0CEA" w:rsidTr="00AA387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F468A" w:rsidRPr="00AC0CEA" w:rsidTr="00AA387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EF468A" w:rsidRPr="00AC0CEA" w:rsidTr="00AA387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F468A" w:rsidRPr="00AC0CEA" w:rsidTr="00AA387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F468A" w:rsidRPr="00AC0CEA" w:rsidTr="00AA387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540BD" w:rsidRDefault="00E540BD" w:rsidP="00E540B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0BD" w:rsidRDefault="00E540BD" w:rsidP="00E540BD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52465" w:rsidRDefault="00052465" w:rsidP="00052465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465" w:rsidRDefault="00EF468A" w:rsidP="00052465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52465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4549E3">
        <w:rPr>
          <w:b/>
          <w:noProof/>
          <w:sz w:val="24"/>
          <w:szCs w:val="24"/>
          <w:lang w:val="en-IN" w:eastAsia="en-IN"/>
        </w:rPr>
        <w:t>1</w:t>
      </w:r>
      <w:r w:rsidR="000B177B">
        <w:rPr>
          <w:b/>
          <w:noProof/>
          <w:sz w:val="24"/>
          <w:szCs w:val="24"/>
          <w:lang w:val="en-IN" w:eastAsia="en-IN"/>
        </w:rPr>
        <w:t xml:space="preserve">: </w:t>
      </w:r>
    </w:p>
    <w:p w:rsidR="005D7678" w:rsidRPr="00236F1C" w:rsidRDefault="00EF468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52465">
        <w:rPr>
          <w:rFonts w:ascii="Times New Roman" w:hAnsi="Times New Roman" w:cs="Times New Roman"/>
          <w:sz w:val="24"/>
          <w:szCs w:val="24"/>
        </w:rPr>
        <w:t xml:space="preserve">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1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F468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52465">
        <w:rPr>
          <w:rFonts w:ascii="Times New Roman" w:hAnsi="Times New Roman" w:cs="Times New Roman"/>
          <w:sz w:val="24"/>
          <w:szCs w:val="24"/>
        </w:rPr>
        <w:t xml:space="preserve">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1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F468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52465">
        <w:rPr>
          <w:rFonts w:ascii="Times New Roman" w:hAnsi="Times New Roman" w:cs="Times New Roman"/>
          <w:sz w:val="24"/>
          <w:szCs w:val="24"/>
        </w:rPr>
        <w:t>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1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F468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52465">
        <w:rPr>
          <w:rFonts w:ascii="Times New Roman" w:hAnsi="Times New Roman" w:cs="Times New Roman"/>
          <w:sz w:val="24"/>
          <w:szCs w:val="24"/>
        </w:rPr>
        <w:t xml:space="preserve">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1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9F376F" w:rsidRPr="003D6AB8" w:rsidRDefault="009F376F" w:rsidP="009F376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4549E3">
        <w:rPr>
          <w:b/>
          <w:noProof/>
          <w:sz w:val="24"/>
          <w:szCs w:val="24"/>
          <w:lang w:val="en-IN" w:eastAsia="en-IN"/>
        </w:rPr>
        <w:t>2</w:t>
      </w:r>
      <w:r>
        <w:rPr>
          <w:b/>
          <w:noProof/>
          <w:sz w:val="24"/>
          <w:szCs w:val="24"/>
          <w:lang w:val="en-IN" w:eastAsia="en-IN"/>
        </w:rPr>
        <w:t xml:space="preserve">: </w:t>
      </w:r>
    </w:p>
    <w:p w:rsidR="009F376F" w:rsidRPr="00236F1C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2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Outstanding</w:t>
      </w:r>
    </w:p>
    <w:p w:rsidR="009F376F" w:rsidRPr="00236F1C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2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Excellent</w:t>
      </w:r>
    </w:p>
    <w:p w:rsidR="009F376F" w:rsidRPr="00236F1C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2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Good</w:t>
      </w:r>
    </w:p>
    <w:p w:rsidR="009F376F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2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Average</w:t>
      </w: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Pr="003D6AB8" w:rsidRDefault="009F376F" w:rsidP="009F376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4549E3">
        <w:rPr>
          <w:b/>
          <w:noProof/>
          <w:sz w:val="24"/>
          <w:szCs w:val="24"/>
          <w:lang w:val="en-IN" w:eastAsia="en-IN"/>
        </w:rPr>
        <w:t>3</w:t>
      </w:r>
      <w:r>
        <w:rPr>
          <w:b/>
          <w:noProof/>
          <w:sz w:val="24"/>
          <w:szCs w:val="24"/>
          <w:lang w:val="en-IN" w:eastAsia="en-IN"/>
        </w:rPr>
        <w:t xml:space="preserve">: </w:t>
      </w:r>
    </w:p>
    <w:p w:rsidR="009F376F" w:rsidRPr="00236F1C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3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Outstanding</w:t>
      </w:r>
    </w:p>
    <w:p w:rsidR="009F376F" w:rsidRPr="00236F1C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3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Excellent</w:t>
      </w:r>
    </w:p>
    <w:p w:rsidR="009F376F" w:rsidRPr="00236F1C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3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Good</w:t>
      </w:r>
    </w:p>
    <w:p w:rsidR="009F376F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3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Average</w:t>
      </w: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Pr="003D6AB8" w:rsidRDefault="009F376F" w:rsidP="009F376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4549E3">
        <w:rPr>
          <w:b/>
          <w:noProof/>
          <w:sz w:val="24"/>
          <w:szCs w:val="24"/>
          <w:lang w:val="en-IN" w:eastAsia="en-IN"/>
        </w:rPr>
        <w:t>4</w:t>
      </w:r>
      <w:r>
        <w:rPr>
          <w:b/>
          <w:noProof/>
          <w:sz w:val="24"/>
          <w:szCs w:val="24"/>
          <w:lang w:val="en-IN" w:eastAsia="en-IN"/>
        </w:rPr>
        <w:t xml:space="preserve">: </w:t>
      </w:r>
    </w:p>
    <w:p w:rsidR="009F376F" w:rsidRPr="00236F1C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4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Outstanding</w:t>
      </w:r>
    </w:p>
    <w:p w:rsidR="009F376F" w:rsidRPr="00236F1C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4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Excellent</w:t>
      </w:r>
    </w:p>
    <w:p w:rsidR="009F376F" w:rsidRPr="00236F1C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4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Good</w:t>
      </w:r>
    </w:p>
    <w:p w:rsidR="009F376F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4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Average</w:t>
      </w: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Pr="003D6AB8" w:rsidRDefault="009F376F" w:rsidP="009F376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8905E6">
        <w:rPr>
          <w:b/>
          <w:noProof/>
          <w:sz w:val="24"/>
          <w:szCs w:val="24"/>
          <w:lang w:val="en-IN" w:eastAsia="en-IN"/>
        </w:rPr>
        <w:t>5</w:t>
      </w:r>
      <w:r>
        <w:rPr>
          <w:b/>
          <w:noProof/>
          <w:sz w:val="24"/>
          <w:szCs w:val="24"/>
          <w:lang w:val="en-IN" w:eastAsia="en-IN"/>
        </w:rPr>
        <w:t xml:space="preserve">: </w:t>
      </w:r>
    </w:p>
    <w:p w:rsidR="009F376F" w:rsidRPr="00236F1C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 5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Outstanding</w:t>
      </w:r>
    </w:p>
    <w:p w:rsidR="009F376F" w:rsidRPr="00236F1C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 5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Excellent</w:t>
      </w:r>
    </w:p>
    <w:p w:rsidR="009F376F" w:rsidRPr="00236F1C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5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Good</w:t>
      </w:r>
    </w:p>
    <w:p w:rsidR="009F376F" w:rsidRDefault="00EF468A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5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Average</w:t>
      </w: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</w:t>
      </w:r>
      <w:r w:rsidR="00E6011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E6011B" w:rsidRPr="00E6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5E4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011B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9F376F">
        <w:rPr>
          <w:rFonts w:ascii="Times New Roman" w:hAnsi="Times New Roman" w:cs="Times New Roman"/>
          <w:b/>
          <w:sz w:val="24"/>
          <w:szCs w:val="24"/>
        </w:rPr>
        <w:t xml:space="preserve">M. A. </w:t>
      </w:r>
      <w:r w:rsidR="009F376F" w:rsidRPr="00E6011B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9F376F">
        <w:rPr>
          <w:rFonts w:ascii="Times New Roman" w:hAnsi="Times New Roman" w:cs="Times New Roman"/>
          <w:b/>
          <w:sz w:val="24"/>
          <w:szCs w:val="24"/>
        </w:rPr>
        <w:t>Sanskrit 2016-2017</w:t>
      </w:r>
      <w:r w:rsidR="005E4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CE3298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CE3298" w:rsidRPr="00636C35" w:rsidRDefault="00CE3298" w:rsidP="00CE329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CE3298" w:rsidRPr="00636C35" w:rsidRDefault="00CE3298" w:rsidP="00CE329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CE3298" w:rsidRPr="00636C35" w:rsidRDefault="00CE3298" w:rsidP="00CE3298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CE3298" w:rsidRDefault="00CE3298" w:rsidP="00CE3298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CE3298" w:rsidRPr="00636C35" w:rsidTr="00BD6FB8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CE3298" w:rsidRPr="00A733B7" w:rsidRDefault="00CE3298" w:rsidP="00BD6F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BD6F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BD6F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EF468A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F468A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EF468A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EF468A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EF468A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A" w:rsidRDefault="00EF468A" w:rsidP="00EF4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E3298" w:rsidRDefault="00EF468A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81425" cy="23812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2465" w:rsidRDefault="0005246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E02E61" w:rsidRDefault="00E1361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D31E5">
        <w:rPr>
          <w:rFonts w:ascii="Times New Roman" w:hAnsi="Times New Roman" w:cs="Times New Roman"/>
          <w:sz w:val="24"/>
          <w:szCs w:val="24"/>
        </w:rPr>
        <w:t>Sanskrit</w:t>
      </w:r>
      <w:r w:rsidR="005E4706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E02E61">
        <w:rPr>
          <w:rFonts w:ascii="Times New Roman" w:hAnsi="Times New Roman" w:cs="Times New Roman"/>
          <w:sz w:val="24"/>
          <w:szCs w:val="24"/>
        </w:rPr>
        <w:t>as Outstanding</w:t>
      </w:r>
    </w:p>
    <w:p w:rsidR="00CE3298" w:rsidRPr="00705A57" w:rsidRDefault="00E1361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D31E5">
        <w:rPr>
          <w:rFonts w:ascii="Times New Roman" w:hAnsi="Times New Roman" w:cs="Times New Roman"/>
          <w:sz w:val="24"/>
          <w:szCs w:val="24"/>
        </w:rPr>
        <w:t>Sanskrit</w:t>
      </w:r>
      <w:r w:rsidR="005E4706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705A57">
        <w:rPr>
          <w:rFonts w:ascii="Times New Roman" w:hAnsi="Times New Roman" w:cs="Times New Roman"/>
          <w:sz w:val="24"/>
          <w:szCs w:val="24"/>
        </w:rPr>
        <w:t>as Excellent</w:t>
      </w:r>
    </w:p>
    <w:p w:rsidR="00CE3298" w:rsidRDefault="00E1361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D31E5">
        <w:rPr>
          <w:rFonts w:ascii="Times New Roman" w:hAnsi="Times New Roman" w:cs="Times New Roman"/>
          <w:sz w:val="24"/>
          <w:szCs w:val="24"/>
        </w:rPr>
        <w:t>Sanskrit</w:t>
      </w:r>
      <w:r w:rsidR="005E4706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Good</w:t>
      </w:r>
    </w:p>
    <w:p w:rsidR="00CE3298" w:rsidRDefault="00E1361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D31E5">
        <w:rPr>
          <w:rFonts w:ascii="Times New Roman" w:hAnsi="Times New Roman" w:cs="Times New Roman"/>
          <w:sz w:val="24"/>
          <w:szCs w:val="24"/>
        </w:rPr>
        <w:t>Sanskrit</w:t>
      </w:r>
      <w:r w:rsidR="005E4706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Average</w:t>
      </w:r>
    </w:p>
    <w:p w:rsidR="00052465" w:rsidRDefault="00052465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16" w:rsidRDefault="00E1361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16" w:rsidRDefault="00E1361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16" w:rsidRDefault="00E1361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16" w:rsidRDefault="00E1361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16" w:rsidRDefault="00E1361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16" w:rsidRDefault="00E1361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16" w:rsidRDefault="00E1361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16" w:rsidRDefault="00E1361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16" w:rsidRDefault="00E1361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16" w:rsidRDefault="00E1361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16" w:rsidRDefault="00E1361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16" w:rsidRDefault="00E1361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06" w:rsidRDefault="005E470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06" w:rsidRDefault="005E470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06" w:rsidRDefault="005E470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06" w:rsidRDefault="005E470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06" w:rsidRDefault="005E470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06" w:rsidRDefault="005E470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06" w:rsidRDefault="005E470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06" w:rsidRDefault="005E4706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Style w:val="TableGridLight1"/>
        <w:tblpPr w:leftFromText="180" w:rightFromText="180" w:vertAnchor="text" w:horzAnchor="margin" w:tblpXSpec="center" w:tblpY="92"/>
        <w:tblW w:w="4811" w:type="dxa"/>
        <w:tblLook w:val="04A0" w:firstRow="1" w:lastRow="0" w:firstColumn="1" w:lastColumn="0" w:noHBand="0" w:noVBand="1"/>
      </w:tblPr>
      <w:tblGrid>
        <w:gridCol w:w="1931"/>
        <w:gridCol w:w="1550"/>
        <w:gridCol w:w="1330"/>
      </w:tblGrid>
      <w:tr w:rsidR="00B72D75" w:rsidRPr="00636C35" w:rsidTr="00A17503">
        <w:trPr>
          <w:trHeight w:val="764"/>
        </w:trPr>
        <w:tc>
          <w:tcPr>
            <w:tcW w:w="1931" w:type="dxa"/>
            <w:shd w:val="clear" w:color="auto" w:fill="F79646" w:themeFill="accent6"/>
            <w:noWrap/>
            <w:vAlign w:val="center"/>
            <w:hideMark/>
          </w:tcPr>
          <w:p w:rsidR="00B72D75" w:rsidRDefault="00B72D75" w:rsidP="00A175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shd w:val="clear" w:color="auto" w:fill="F79646" w:themeFill="accent6"/>
            <w:vAlign w:val="center"/>
            <w:hideMark/>
          </w:tcPr>
          <w:p w:rsidR="00B72D75" w:rsidRDefault="00B72D75" w:rsidP="00A175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A17503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shd w:val="clear" w:color="auto" w:fill="F79646" w:themeFill="accent6"/>
            <w:vAlign w:val="center"/>
            <w:hideMark/>
          </w:tcPr>
          <w:p w:rsidR="00B72D75" w:rsidRDefault="00B72D75" w:rsidP="00A175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A17503">
              <w:rPr>
                <w:color w:val="000000"/>
                <w:lang w:val="en-IN"/>
              </w:rPr>
              <w:t xml:space="preserve"> (%)</w:t>
            </w:r>
          </w:p>
        </w:tc>
      </w:tr>
      <w:tr w:rsidR="00E13616" w:rsidRPr="00636C35" w:rsidTr="00E33A38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noWrap/>
            <w:vAlign w:val="bottom"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330" w:type="dxa"/>
            <w:noWrap/>
            <w:vAlign w:val="bottom"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13616" w:rsidRPr="00636C35" w:rsidTr="00E33A38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noWrap/>
            <w:vAlign w:val="bottom"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330" w:type="dxa"/>
            <w:noWrap/>
            <w:vAlign w:val="bottom"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13616" w:rsidRPr="00636C35" w:rsidTr="00E33A38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noWrap/>
            <w:vAlign w:val="bottom"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330" w:type="dxa"/>
            <w:noWrap/>
            <w:vAlign w:val="bottom"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13616" w:rsidRPr="00636C35" w:rsidTr="00E33A38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noWrap/>
            <w:vAlign w:val="bottom"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330" w:type="dxa"/>
            <w:noWrap/>
            <w:vAlign w:val="bottom"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13616" w:rsidRPr="00636C35" w:rsidTr="00E33A38">
        <w:trPr>
          <w:trHeight w:val="450"/>
        </w:trPr>
        <w:tc>
          <w:tcPr>
            <w:tcW w:w="1931" w:type="dxa"/>
            <w:noWrap/>
            <w:vAlign w:val="center"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noWrap/>
            <w:vAlign w:val="bottom"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330" w:type="dxa"/>
            <w:noWrap/>
            <w:vAlign w:val="bottom"/>
          </w:tcPr>
          <w:p w:rsidR="00E13616" w:rsidRDefault="00E13616" w:rsidP="00E13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E13616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3402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E1361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E1361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E1361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E1361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D27376" w:rsidRPr="00785B5D" w:rsidRDefault="00E13616" w:rsidP="00785B5D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sectPr w:rsidR="00D27376" w:rsidRPr="00785B5D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61" w:rsidRDefault="004C1D61" w:rsidP="009569D7">
      <w:pPr>
        <w:spacing w:after="0" w:line="240" w:lineRule="auto"/>
      </w:pPr>
      <w:r>
        <w:separator/>
      </w:r>
    </w:p>
  </w:endnote>
  <w:endnote w:type="continuationSeparator" w:id="0">
    <w:p w:rsidR="004C1D61" w:rsidRDefault="004C1D61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61" w:rsidRDefault="004C1D61" w:rsidP="009569D7">
      <w:pPr>
        <w:spacing w:after="0" w:line="240" w:lineRule="auto"/>
      </w:pPr>
      <w:r>
        <w:separator/>
      </w:r>
    </w:p>
  </w:footnote>
  <w:footnote w:type="continuationSeparator" w:id="0">
    <w:p w:rsidR="004C1D61" w:rsidRDefault="004C1D61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2465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1713D"/>
    <w:rsid w:val="001177C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069B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0F49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31E5"/>
    <w:rsid w:val="003D5E39"/>
    <w:rsid w:val="003D6786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474FD"/>
    <w:rsid w:val="00450D8E"/>
    <w:rsid w:val="00451383"/>
    <w:rsid w:val="00452941"/>
    <w:rsid w:val="004537CC"/>
    <w:rsid w:val="00454447"/>
    <w:rsid w:val="004549E3"/>
    <w:rsid w:val="00460868"/>
    <w:rsid w:val="00461959"/>
    <w:rsid w:val="004643F8"/>
    <w:rsid w:val="00464669"/>
    <w:rsid w:val="004657F6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1D61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2607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4706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5B5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291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05E6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376F"/>
    <w:rsid w:val="009F3B37"/>
    <w:rsid w:val="009F457C"/>
    <w:rsid w:val="009F5A17"/>
    <w:rsid w:val="009F6BB1"/>
    <w:rsid w:val="00A01CEF"/>
    <w:rsid w:val="00A13966"/>
    <w:rsid w:val="00A15CE2"/>
    <w:rsid w:val="00A15FC7"/>
    <w:rsid w:val="00A16FB7"/>
    <w:rsid w:val="00A17503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5D2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6FB8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4E99"/>
    <w:rsid w:val="00C770AB"/>
    <w:rsid w:val="00C8236B"/>
    <w:rsid w:val="00C86438"/>
    <w:rsid w:val="00C92704"/>
    <w:rsid w:val="00C935B2"/>
    <w:rsid w:val="00C938EA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C54"/>
    <w:rsid w:val="00D21EA2"/>
    <w:rsid w:val="00D222D2"/>
    <w:rsid w:val="00D235CC"/>
    <w:rsid w:val="00D246D0"/>
    <w:rsid w:val="00D25208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4816"/>
    <w:rsid w:val="00DE5F5D"/>
    <w:rsid w:val="00DF1C35"/>
    <w:rsid w:val="00E008C6"/>
    <w:rsid w:val="00E00CEB"/>
    <w:rsid w:val="00E07A76"/>
    <w:rsid w:val="00E1361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3A38"/>
    <w:rsid w:val="00E34868"/>
    <w:rsid w:val="00E34A42"/>
    <w:rsid w:val="00E35B31"/>
    <w:rsid w:val="00E36BDF"/>
    <w:rsid w:val="00E4583C"/>
    <w:rsid w:val="00E46CCA"/>
    <w:rsid w:val="00E4752F"/>
    <w:rsid w:val="00E540BD"/>
    <w:rsid w:val="00E55C20"/>
    <w:rsid w:val="00E6011B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468A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CCE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C54E0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1">
    <w:name w:val="Grid Table 6 Colorful1"/>
    <w:basedOn w:val="TableNormal"/>
    <w:uiPriority w:val="51"/>
    <w:rsid w:val="00A175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3)\Sanskri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3)\Sanskri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3)\Sanskri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New%20folder%20(3)\Sanskri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New%20folder%20(3)\Sanskri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New%20folder%20(3)\Sanskri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Course Curriculum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Sheet4!$A$11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Sheet4!$B$10:$F$10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Sheet4!$B$11:$F$11</c:f>
              <c:numCache>
                <c:formatCode>0</c:formatCode>
                <c:ptCount val="5"/>
                <c:pt idx="0">
                  <c:v>8.5</c:v>
                </c:pt>
                <c:pt idx="1">
                  <c:v>5.4945054945054945</c:v>
                </c:pt>
                <c:pt idx="2">
                  <c:v>7.6530612244897958</c:v>
                </c:pt>
                <c:pt idx="3">
                  <c:v>8.2872928176795551</c:v>
                </c:pt>
                <c:pt idx="4">
                  <c:v>7.0270270270270245</c:v>
                </c:pt>
              </c:numCache>
            </c:numRef>
          </c:val>
        </c:ser>
        <c:ser>
          <c:idx val="1"/>
          <c:order val="1"/>
          <c:tx>
            <c:strRef>
              <c:f>Sheet4!$A$12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Sheet4!$B$10:$F$10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Sheet4!$B$12:$F$12</c:f>
              <c:numCache>
                <c:formatCode>0</c:formatCode>
                <c:ptCount val="5"/>
                <c:pt idx="0">
                  <c:v>50.5</c:v>
                </c:pt>
                <c:pt idx="1">
                  <c:v>35.531135531135533</c:v>
                </c:pt>
                <c:pt idx="2">
                  <c:v>44.387755102040806</c:v>
                </c:pt>
                <c:pt idx="3">
                  <c:v>49.723756906077391</c:v>
                </c:pt>
                <c:pt idx="4">
                  <c:v>41.621621621621593</c:v>
                </c:pt>
              </c:numCache>
            </c:numRef>
          </c:val>
        </c:ser>
        <c:ser>
          <c:idx val="2"/>
          <c:order val="2"/>
          <c:tx>
            <c:strRef>
              <c:f>Sheet4!$A$13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Sheet4!$B$10:$F$10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Sheet4!$B$13:$F$13</c:f>
              <c:numCache>
                <c:formatCode>0</c:formatCode>
                <c:ptCount val="5"/>
                <c:pt idx="0">
                  <c:v>25.5</c:v>
                </c:pt>
                <c:pt idx="1">
                  <c:v>20.879120879120865</c:v>
                </c:pt>
                <c:pt idx="2">
                  <c:v>31.632653061224495</c:v>
                </c:pt>
                <c:pt idx="3">
                  <c:v>23.756906077348066</c:v>
                </c:pt>
                <c:pt idx="4">
                  <c:v>32.972972972973025</c:v>
                </c:pt>
              </c:numCache>
            </c:numRef>
          </c:val>
        </c:ser>
        <c:ser>
          <c:idx val="3"/>
          <c:order val="3"/>
          <c:tx>
            <c:strRef>
              <c:f>Sheet4!$A$14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Sheet4!$B$10:$F$10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Sheet4!$B$14:$F$14</c:f>
              <c:numCache>
                <c:formatCode>0</c:formatCode>
                <c:ptCount val="5"/>
                <c:pt idx="0">
                  <c:v>15.5</c:v>
                </c:pt>
                <c:pt idx="1">
                  <c:v>38.095238095238102</c:v>
                </c:pt>
                <c:pt idx="2">
                  <c:v>16.326530612244888</c:v>
                </c:pt>
                <c:pt idx="3">
                  <c:v>18.232044198895032</c:v>
                </c:pt>
                <c:pt idx="4">
                  <c:v>18.378378378378379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3585536"/>
        <c:axId val="43587072"/>
        <c:axId val="0"/>
      </c:bar3DChart>
      <c:catAx>
        <c:axId val="43585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587072"/>
        <c:crosses val="autoZero"/>
        <c:auto val="1"/>
        <c:lblAlgn val="ctr"/>
        <c:lblOffset val="100"/>
        <c:noMultiLvlLbl val="0"/>
      </c:catAx>
      <c:valAx>
        <c:axId val="4358707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4358553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Sheet4!$H$11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Sheet4!$I$10:$M$10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Sheet4!$I$11:$M$11</c:f>
              <c:numCache>
                <c:formatCode>0</c:formatCode>
                <c:ptCount val="5"/>
                <c:pt idx="0">
                  <c:v>7.9470198675496695</c:v>
                </c:pt>
                <c:pt idx="1">
                  <c:v>7.0469798657718119</c:v>
                </c:pt>
                <c:pt idx="2">
                  <c:v>10</c:v>
                </c:pt>
                <c:pt idx="3">
                  <c:v>8</c:v>
                </c:pt>
                <c:pt idx="4">
                  <c:v>6.7164179104477615</c:v>
                </c:pt>
              </c:numCache>
            </c:numRef>
          </c:val>
        </c:ser>
        <c:ser>
          <c:idx val="1"/>
          <c:order val="1"/>
          <c:tx>
            <c:strRef>
              <c:f>Sheet4!$H$12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Sheet4!$I$10:$M$10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Sheet4!$I$12:$M$12</c:f>
              <c:numCache>
                <c:formatCode>0</c:formatCode>
                <c:ptCount val="5"/>
                <c:pt idx="0">
                  <c:v>35.761589403973495</c:v>
                </c:pt>
                <c:pt idx="1">
                  <c:v>37.583892617449628</c:v>
                </c:pt>
                <c:pt idx="2">
                  <c:v>43.913043478260825</c:v>
                </c:pt>
                <c:pt idx="3">
                  <c:v>34.333333333333336</c:v>
                </c:pt>
                <c:pt idx="4">
                  <c:v>32.462686567164141</c:v>
                </c:pt>
              </c:numCache>
            </c:numRef>
          </c:val>
        </c:ser>
        <c:ser>
          <c:idx val="2"/>
          <c:order val="2"/>
          <c:tx>
            <c:strRef>
              <c:f>Sheet4!$H$13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Sheet4!$I$10:$M$10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Sheet4!$I$13:$M$13</c:f>
              <c:numCache>
                <c:formatCode>0</c:formatCode>
                <c:ptCount val="5"/>
                <c:pt idx="0">
                  <c:v>33.443708609271525</c:v>
                </c:pt>
                <c:pt idx="1">
                  <c:v>32.550335570469812</c:v>
                </c:pt>
                <c:pt idx="2">
                  <c:v>10.869565217391319</c:v>
                </c:pt>
                <c:pt idx="3">
                  <c:v>34</c:v>
                </c:pt>
                <c:pt idx="4">
                  <c:v>34.328358208955279</c:v>
                </c:pt>
              </c:numCache>
            </c:numRef>
          </c:val>
        </c:ser>
        <c:ser>
          <c:idx val="3"/>
          <c:order val="3"/>
          <c:tx>
            <c:strRef>
              <c:f>Sheet4!$H$14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Sheet4!$I$10:$M$10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Sheet4!$I$14:$M$14</c:f>
              <c:numCache>
                <c:formatCode>0</c:formatCode>
                <c:ptCount val="5"/>
                <c:pt idx="0">
                  <c:v>22.847682119205299</c:v>
                </c:pt>
                <c:pt idx="1">
                  <c:v>22.818791946308725</c:v>
                </c:pt>
                <c:pt idx="2">
                  <c:v>35.217391304347828</c:v>
                </c:pt>
                <c:pt idx="3">
                  <c:v>23.666666666666668</c:v>
                </c:pt>
                <c:pt idx="4">
                  <c:v>26.492537313432816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3781504"/>
        <c:axId val="43791488"/>
        <c:axId val="0"/>
      </c:bar3DChart>
      <c:catAx>
        <c:axId val="43781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791488"/>
        <c:crosses val="autoZero"/>
        <c:auto val="1"/>
        <c:lblAlgn val="ctr"/>
        <c:lblOffset val="100"/>
        <c:noMultiLvlLbl val="0"/>
      </c:catAx>
      <c:valAx>
        <c:axId val="4379148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4378150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Project/Seminar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Sheet4!$O$11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Sheet4!$P$10:$T$10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Sheet4!$P$11:$T$11</c:f>
              <c:numCache>
                <c:formatCode>0</c:formatCode>
                <c:ptCount val="5"/>
                <c:pt idx="0">
                  <c:v>8.1632653061224492</c:v>
                </c:pt>
                <c:pt idx="1">
                  <c:v>6.1224489795918355</c:v>
                </c:pt>
                <c:pt idx="2">
                  <c:v>2.197802197802198</c:v>
                </c:pt>
                <c:pt idx="3">
                  <c:v>7.2916666666666705</c:v>
                </c:pt>
                <c:pt idx="4">
                  <c:v>5.3763440860215086</c:v>
                </c:pt>
              </c:numCache>
            </c:numRef>
          </c:val>
        </c:ser>
        <c:ser>
          <c:idx val="1"/>
          <c:order val="1"/>
          <c:tx>
            <c:strRef>
              <c:f>Sheet4!$O$12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Sheet4!$P$10:$T$10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Sheet4!$P$12:$T$12</c:f>
              <c:numCache>
                <c:formatCode>0</c:formatCode>
                <c:ptCount val="5"/>
                <c:pt idx="0">
                  <c:v>34.693877551020378</c:v>
                </c:pt>
                <c:pt idx="1">
                  <c:v>35.714285714285715</c:v>
                </c:pt>
                <c:pt idx="2">
                  <c:v>40.6593406593406</c:v>
                </c:pt>
                <c:pt idx="3">
                  <c:v>36.458333333333329</c:v>
                </c:pt>
                <c:pt idx="4">
                  <c:v>37.634408602150536</c:v>
                </c:pt>
              </c:numCache>
            </c:numRef>
          </c:val>
        </c:ser>
        <c:ser>
          <c:idx val="2"/>
          <c:order val="2"/>
          <c:tx>
            <c:strRef>
              <c:f>Sheet4!$O$13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Sheet4!$P$10:$T$10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Sheet4!$P$13:$T$13</c:f>
              <c:numCache>
                <c:formatCode>0</c:formatCode>
                <c:ptCount val="5"/>
                <c:pt idx="0">
                  <c:v>25.510204081632654</c:v>
                </c:pt>
                <c:pt idx="1">
                  <c:v>27.551020408163247</c:v>
                </c:pt>
                <c:pt idx="2">
                  <c:v>25.274725274725245</c:v>
                </c:pt>
                <c:pt idx="3">
                  <c:v>29.166666666666668</c:v>
                </c:pt>
                <c:pt idx="4">
                  <c:v>22.58064516129032</c:v>
                </c:pt>
              </c:numCache>
            </c:numRef>
          </c:val>
        </c:ser>
        <c:ser>
          <c:idx val="3"/>
          <c:order val="3"/>
          <c:tx>
            <c:strRef>
              <c:f>Sheet4!$O$14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Sheet4!$P$10:$T$10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Sheet4!$P$14:$T$14</c:f>
              <c:numCache>
                <c:formatCode>0</c:formatCode>
                <c:ptCount val="5"/>
                <c:pt idx="0">
                  <c:v>31.632653061224495</c:v>
                </c:pt>
                <c:pt idx="1">
                  <c:v>30.612244897959183</c:v>
                </c:pt>
                <c:pt idx="2">
                  <c:v>31.868131868131837</c:v>
                </c:pt>
                <c:pt idx="3">
                  <c:v>27.08333333333329</c:v>
                </c:pt>
                <c:pt idx="4">
                  <c:v>34.408602150537625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3821696"/>
        <c:axId val="43975040"/>
        <c:axId val="0"/>
      </c:bar3DChart>
      <c:catAx>
        <c:axId val="43821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975040"/>
        <c:crosses val="autoZero"/>
        <c:auto val="1"/>
        <c:lblAlgn val="ctr"/>
        <c:lblOffset val="100"/>
        <c:noMultiLvlLbl val="0"/>
      </c:catAx>
      <c:valAx>
        <c:axId val="4397504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4382169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Over All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Sheet4!$V$11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Sheet4!$W$10:$AA$10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Sheet4!$W$11:$AA$11</c:f>
              <c:numCache>
                <c:formatCode>0</c:formatCode>
                <c:ptCount val="5"/>
                <c:pt idx="0">
                  <c:v>13.888888888888889</c:v>
                </c:pt>
                <c:pt idx="1">
                  <c:v>11.26760563380282</c:v>
                </c:pt>
                <c:pt idx="2">
                  <c:v>10.56338028169014</c:v>
                </c:pt>
                <c:pt idx="3">
                  <c:v>11.111111111111098</c:v>
                </c:pt>
                <c:pt idx="4">
                  <c:v>11.034482758620697</c:v>
                </c:pt>
              </c:numCache>
            </c:numRef>
          </c:val>
        </c:ser>
        <c:ser>
          <c:idx val="1"/>
          <c:order val="1"/>
          <c:tx>
            <c:strRef>
              <c:f>Sheet4!$V$12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Sheet4!$W$10:$AA$10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Sheet4!$W$12:$AA$12</c:f>
              <c:numCache>
                <c:formatCode>0</c:formatCode>
                <c:ptCount val="5"/>
                <c:pt idx="0">
                  <c:v>43.75</c:v>
                </c:pt>
                <c:pt idx="1">
                  <c:v>42.253521126760546</c:v>
                </c:pt>
                <c:pt idx="2">
                  <c:v>41.549295774647874</c:v>
                </c:pt>
                <c:pt idx="3">
                  <c:v>42.361111111111107</c:v>
                </c:pt>
                <c:pt idx="4">
                  <c:v>39.310344827586178</c:v>
                </c:pt>
              </c:numCache>
            </c:numRef>
          </c:val>
        </c:ser>
        <c:ser>
          <c:idx val="2"/>
          <c:order val="2"/>
          <c:tx>
            <c:strRef>
              <c:f>Sheet4!$V$13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Sheet4!$W$10:$AA$10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Sheet4!$W$13:$AA$13</c:f>
              <c:numCache>
                <c:formatCode>0</c:formatCode>
                <c:ptCount val="5"/>
                <c:pt idx="0">
                  <c:v>24.305555555555554</c:v>
                </c:pt>
                <c:pt idx="1">
                  <c:v>26.760563380281674</c:v>
                </c:pt>
                <c:pt idx="2">
                  <c:v>27.464788732394354</c:v>
                </c:pt>
                <c:pt idx="3">
                  <c:v>25</c:v>
                </c:pt>
                <c:pt idx="4">
                  <c:v>24.827586206896555</c:v>
                </c:pt>
              </c:numCache>
            </c:numRef>
          </c:val>
        </c:ser>
        <c:ser>
          <c:idx val="3"/>
          <c:order val="3"/>
          <c:tx>
            <c:strRef>
              <c:f>Sheet4!$V$14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Sheet4!$W$10:$AA$10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Sheet4!$W$14:$AA$14</c:f>
              <c:numCache>
                <c:formatCode>0</c:formatCode>
                <c:ptCount val="5"/>
                <c:pt idx="0">
                  <c:v>18.055555555555554</c:v>
                </c:pt>
                <c:pt idx="1">
                  <c:v>19.718309859154914</c:v>
                </c:pt>
                <c:pt idx="2">
                  <c:v>20.422535211267583</c:v>
                </c:pt>
                <c:pt idx="3">
                  <c:v>21.527777777777779</c:v>
                </c:pt>
                <c:pt idx="4">
                  <c:v>24.827586206896555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4009344"/>
        <c:axId val="44010880"/>
        <c:axId val="0"/>
      </c:bar3DChart>
      <c:catAx>
        <c:axId val="44009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010880"/>
        <c:crosses val="autoZero"/>
        <c:auto val="1"/>
        <c:lblAlgn val="ctr"/>
        <c:lblOffset val="100"/>
        <c:noMultiLvlLbl val="0"/>
      </c:catAx>
      <c:valAx>
        <c:axId val="4401088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4400934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Infrastructure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Sheet4!$AE$3</c:f>
              <c:strCache>
                <c:ptCount val="1"/>
                <c:pt idx="0">
                  <c:v>Percentage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Sheet4!$AC$4:$AC$7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Sheet4!$AE$4:$AE$7</c:f>
              <c:numCache>
                <c:formatCode>0</c:formatCode>
                <c:ptCount val="4"/>
                <c:pt idx="0">
                  <c:v>4.0114613180515795</c:v>
                </c:pt>
                <c:pt idx="1">
                  <c:v>22.063037249283653</c:v>
                </c:pt>
                <c:pt idx="2">
                  <c:v>30.085959885386806</c:v>
                </c:pt>
                <c:pt idx="3">
                  <c:v>43.839541547277925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4035456"/>
        <c:axId val="44697856"/>
        <c:axId val="0"/>
      </c:bar3DChart>
      <c:catAx>
        <c:axId val="44035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697856"/>
        <c:crosses val="autoZero"/>
        <c:auto val="1"/>
        <c:lblAlgn val="ctr"/>
        <c:lblOffset val="100"/>
        <c:noMultiLvlLbl val="0"/>
      </c:catAx>
      <c:valAx>
        <c:axId val="4469785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44035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Sheet4!$AK$3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Sheet4!$AG$4:$AG$8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Sheet4!$AK$4:$AK$8</c:f>
              <c:numCache>
                <c:formatCode>0</c:formatCode>
                <c:ptCount val="5"/>
                <c:pt idx="0">
                  <c:v>92.592592592592496</c:v>
                </c:pt>
                <c:pt idx="1">
                  <c:v>96.296296296296291</c:v>
                </c:pt>
                <c:pt idx="2">
                  <c:v>96.296296296296291</c:v>
                </c:pt>
                <c:pt idx="3">
                  <c:v>96.296296296296291</c:v>
                </c:pt>
                <c:pt idx="4">
                  <c:v>96.296296296296291</c:v>
                </c:pt>
              </c:numCache>
            </c:numRef>
          </c:val>
        </c:ser>
        <c:ser>
          <c:idx val="1"/>
          <c:order val="1"/>
          <c:tx>
            <c:strRef>
              <c:f>Sheet4!$AL$3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Sheet4!$AG$4:$AG$8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Sheet4!$AL$4:$AL$8</c:f>
              <c:numCache>
                <c:formatCode>0</c:formatCode>
                <c:ptCount val="5"/>
                <c:pt idx="0">
                  <c:v>7.4074074074074066</c:v>
                </c:pt>
                <c:pt idx="1">
                  <c:v>3.7037037037037042</c:v>
                </c:pt>
                <c:pt idx="2">
                  <c:v>3.7037037037037042</c:v>
                </c:pt>
                <c:pt idx="3">
                  <c:v>3.7037037037037042</c:v>
                </c:pt>
                <c:pt idx="4">
                  <c:v>3.7037037037037042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4724992"/>
        <c:axId val="44726528"/>
        <c:axId val="0"/>
      </c:bar3DChart>
      <c:catAx>
        <c:axId val="44724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726528"/>
        <c:crosses val="autoZero"/>
        <c:auto val="1"/>
        <c:lblAlgn val="ctr"/>
        <c:lblOffset val="100"/>
        <c:noMultiLvlLbl val="0"/>
      </c:catAx>
      <c:valAx>
        <c:axId val="447265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4472499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EA49-6C99-4959-B265-DF6D9688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4</cp:revision>
  <dcterms:created xsi:type="dcterms:W3CDTF">2018-07-10T05:54:00Z</dcterms:created>
  <dcterms:modified xsi:type="dcterms:W3CDTF">2018-10-16T12:51:00Z</dcterms:modified>
</cp:coreProperties>
</file>