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C13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358DB" w:rsidRPr="00E6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61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C13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E33A38">
        <w:rPr>
          <w:rFonts w:ascii="Times New Roman" w:hAnsi="Times New Roman" w:cs="Times New Roman"/>
          <w:b/>
          <w:sz w:val="24"/>
          <w:szCs w:val="24"/>
        </w:rPr>
        <w:t>A</w:t>
      </w:r>
      <w:r w:rsidR="00C13E82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361970">
        <w:rPr>
          <w:rFonts w:ascii="Times New Roman" w:hAnsi="Times New Roman" w:cs="Times New Roman"/>
          <w:b/>
          <w:sz w:val="24"/>
          <w:szCs w:val="24"/>
        </w:rPr>
        <w:t>Sanskrit 2017</w:t>
      </w:r>
      <w:r w:rsidR="00E33A38">
        <w:rPr>
          <w:rFonts w:ascii="Times New Roman" w:hAnsi="Times New Roman" w:cs="Times New Roman"/>
          <w:b/>
          <w:sz w:val="24"/>
          <w:szCs w:val="24"/>
        </w:rPr>
        <w:t>-201</w:t>
      </w:r>
      <w:r w:rsidR="00361970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636C35" w:rsidRDefault="00F80E45" w:rsidP="00C13E82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C13E82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C13E82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C13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82" w:rsidRDefault="00C13E82" w:rsidP="00C13E8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F80E45" w:rsidP="00C13E8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7392E" w:rsidRPr="00AC0CEA" w:rsidTr="00BD6F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F7392E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F7392E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7392E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7392E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F7392E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7392E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F7392E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56350" cy="2032000"/>
            <wp:effectExtent l="19050" t="0" r="2540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1FA5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>:</w:t>
      </w:r>
    </w:p>
    <w:p w:rsidR="00B45248" w:rsidRPr="00236F1C" w:rsidRDefault="00F7392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F7392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F7392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F7392E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1FA5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51FA5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5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5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7392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="00C13E82">
        <w:rPr>
          <w:rFonts w:ascii="Times New Roman" w:hAnsi="Times New Roman" w:cs="Times New Roman"/>
          <w:sz w:val="24"/>
          <w:szCs w:val="24"/>
        </w:rPr>
        <w:t xml:space="preserve">communication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C13E82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3E82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3:</w:t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 w:rsidR="00C114ED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7392E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C13E82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C31"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3C31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973C31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7392E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F7392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7392E" w:rsidRDefault="00F7392E" w:rsidP="00F7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F7392E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86500" cy="2108200"/>
            <wp:effectExtent l="19050" t="0" r="19050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51FA5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1FA5" w:rsidRDefault="005D7678" w:rsidP="000B62C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51FA5" w:rsidRDefault="005D7678" w:rsidP="000B62C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3: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5" w:rsidRDefault="005D7678" w:rsidP="000B62C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7392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5" w:rsidRDefault="005D7678" w:rsidP="000B62C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9F3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about</w:t>
      </w:r>
      <w:r w:rsidR="000B6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1B3736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1B3736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1B37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1B3736" w:rsidP="00CF457D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426200" cy="2813050"/>
            <wp:effectExtent l="19050" t="0" r="12700" b="63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62CD">
        <w:rPr>
          <w:rFonts w:ascii="Times New Roman" w:hAnsi="Times New Roman" w:cs="Times New Roman"/>
          <w:sz w:val="24"/>
          <w:szCs w:val="24"/>
        </w:rPr>
        <w:t xml:space="preserve">Project/Seminar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B3736" w:rsidRDefault="001B3736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B62CD" w:rsidRDefault="000B62CD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2CD" w:rsidRDefault="000B62CD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2CD" w:rsidRDefault="000B62CD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2CD" w:rsidRDefault="000B62CD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110B28" w:rsidRDefault="00110B28" w:rsidP="00110B28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</w:t>
      </w:r>
      <w:r>
        <w:rPr>
          <w:rFonts w:ascii="Times New Roman" w:hAnsi="Times New Roman" w:cs="Times New Roman"/>
          <w:sz w:val="24"/>
          <w:szCs w:val="24"/>
        </w:rPr>
        <w:t>about overall course</w:t>
      </w:r>
    </w:p>
    <w:tbl>
      <w:tblPr>
        <w:tblStyle w:val="TableGrid"/>
        <w:tblW w:w="7017" w:type="dxa"/>
        <w:jc w:val="center"/>
        <w:tblLook w:val="04A0" w:firstRow="1" w:lastRow="0" w:firstColumn="1" w:lastColumn="0" w:noHBand="0" w:noVBand="1"/>
      </w:tblPr>
      <w:tblGrid>
        <w:gridCol w:w="960"/>
        <w:gridCol w:w="1153"/>
        <w:gridCol w:w="1226"/>
        <w:gridCol w:w="1226"/>
        <w:gridCol w:w="1226"/>
        <w:gridCol w:w="1226"/>
      </w:tblGrid>
      <w:tr w:rsidR="001B3736" w:rsidRPr="00AC0CEA" w:rsidTr="00F7392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</w:tbl>
    <w:p w:rsidR="00110B28" w:rsidRDefault="00110B28" w:rsidP="00110B28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 overall course </w:t>
      </w:r>
    </w:p>
    <w:tbl>
      <w:tblPr>
        <w:tblStyle w:val="TableGrid"/>
        <w:tblW w:w="7017" w:type="dxa"/>
        <w:jc w:val="center"/>
        <w:tblLook w:val="04A0" w:firstRow="1" w:lastRow="0" w:firstColumn="1" w:lastColumn="0" w:noHBand="0" w:noVBand="1"/>
      </w:tblPr>
      <w:tblGrid>
        <w:gridCol w:w="960"/>
        <w:gridCol w:w="1153"/>
        <w:gridCol w:w="1226"/>
        <w:gridCol w:w="1226"/>
        <w:gridCol w:w="1226"/>
        <w:gridCol w:w="1226"/>
      </w:tblGrid>
      <w:tr w:rsidR="001B3736" w:rsidRPr="00AC0CEA" w:rsidTr="00F7392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1B3736" w:rsidRPr="00AC0CEA" w:rsidTr="00F7392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26" w:type="dxa"/>
            <w:noWrap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26" w:type="dxa"/>
            <w:vAlign w:val="bottom"/>
          </w:tcPr>
          <w:p w:rsidR="001B3736" w:rsidRDefault="001B3736" w:rsidP="001B3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052465" w:rsidRDefault="00052465" w:rsidP="00052465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465" w:rsidRDefault="001B3736" w:rsidP="00052465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57900" cy="2889250"/>
            <wp:effectExtent l="19050" t="0" r="190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52465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1</w:t>
      </w:r>
      <w:r w:rsidR="000B177B">
        <w:rPr>
          <w:b/>
          <w:noProof/>
          <w:sz w:val="24"/>
          <w:szCs w:val="24"/>
          <w:lang w:val="en-IN" w:eastAsia="en-IN"/>
        </w:rPr>
        <w:t xml:space="preserve">: 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 xml:space="preserve">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 xml:space="preserve">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>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B37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 xml:space="preserve">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2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3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4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8905E6">
        <w:rPr>
          <w:b/>
          <w:noProof/>
          <w:sz w:val="24"/>
          <w:szCs w:val="24"/>
          <w:lang w:val="en-IN" w:eastAsia="en-IN"/>
        </w:rPr>
        <w:t>5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 5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 5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5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1B3736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5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57D" w:rsidRPr="009F376F" w:rsidRDefault="00CF457D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  <w:r w:rsidR="000B62CD">
        <w:rPr>
          <w:rFonts w:ascii="Times New Roman" w:hAnsi="Times New Roman" w:cs="Times New Roman"/>
          <w:b/>
          <w:sz w:val="24"/>
          <w:szCs w:val="24"/>
        </w:rPr>
        <w:t>: Infrastructure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lastRenderedPageBreak/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</w:t>
      </w:r>
      <w:r w:rsidR="003E47BE">
        <w:rPr>
          <w:rFonts w:ascii="Times New Roman" w:hAnsi="Times New Roman" w:cs="Times New Roman"/>
          <w:sz w:val="24"/>
          <w:szCs w:val="24"/>
        </w:rPr>
        <w:t>2 levels as yes or no</w:t>
      </w:r>
    </w:p>
    <w:p w:rsidR="00C97544" w:rsidRPr="003F5935" w:rsidRDefault="00C97544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2880" w:type="dxa"/>
        <w:tblLook w:val="04A0" w:firstRow="1" w:lastRow="0" w:firstColumn="1" w:lastColumn="0" w:noHBand="0" w:noVBand="1"/>
      </w:tblPr>
      <w:tblGrid>
        <w:gridCol w:w="1330"/>
        <w:gridCol w:w="1550"/>
      </w:tblGrid>
      <w:tr w:rsidR="003E47BE" w:rsidRPr="00636C35" w:rsidTr="003E47BE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3E47BE" w:rsidRPr="00A733B7" w:rsidRDefault="003E47BE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3E47BE" w:rsidRPr="00A733B7" w:rsidRDefault="003E47BE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No</w:t>
            </w:r>
          </w:p>
        </w:tc>
      </w:tr>
      <w:tr w:rsidR="003E47BE" w:rsidRPr="00636C35" w:rsidTr="003E47B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E" w:rsidRDefault="003E47BE" w:rsidP="003E47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E" w:rsidRDefault="003E47BE" w:rsidP="003E47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</w:tbl>
    <w:p w:rsidR="00CE3298" w:rsidRDefault="003E47BE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95725" cy="25050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2465" w:rsidRDefault="0005246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E02E61" w:rsidRDefault="003E47BE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0B62CD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as </w:t>
      </w:r>
      <w:r w:rsidR="000B62CD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705A57" w:rsidRDefault="003E47BE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0B62CD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0B62CD">
        <w:rPr>
          <w:rFonts w:ascii="Times New Roman" w:hAnsi="Times New Roman" w:cs="Times New Roman"/>
          <w:sz w:val="24"/>
          <w:szCs w:val="24"/>
        </w:rPr>
        <w:t>t good</w:t>
      </w:r>
    </w:p>
    <w:p w:rsidR="00052465" w:rsidRDefault="00052465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544" w:rsidRDefault="00C97544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7BE" w:rsidRDefault="003E47BE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7BE" w:rsidRDefault="003E47BE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7BE" w:rsidRDefault="003E47BE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24398C" w:rsidRPr="00E6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243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24398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24398C">
        <w:rPr>
          <w:rFonts w:ascii="Times New Roman" w:hAnsi="Times New Roman" w:cs="Times New Roman"/>
          <w:b/>
          <w:sz w:val="24"/>
          <w:szCs w:val="24"/>
        </w:rPr>
        <w:t xml:space="preserve"> M. A. –II Year </w:t>
      </w:r>
      <w:r w:rsidR="0024398C" w:rsidRPr="00E6011B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24398C">
        <w:rPr>
          <w:rFonts w:ascii="Times New Roman" w:hAnsi="Times New Roman" w:cs="Times New Roman"/>
          <w:b/>
          <w:sz w:val="24"/>
          <w:szCs w:val="24"/>
        </w:rPr>
        <w:t xml:space="preserve">Sanskrit 2017-2018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Style w:val="TableGridLight1"/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B72D75" w:rsidRPr="00636C35" w:rsidTr="00A17503">
        <w:trPr>
          <w:trHeight w:val="764"/>
        </w:trPr>
        <w:tc>
          <w:tcPr>
            <w:tcW w:w="1931" w:type="dxa"/>
            <w:shd w:val="clear" w:color="auto" w:fill="F79646" w:themeFill="accent6"/>
            <w:noWrap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lastRenderedPageBreak/>
              <w:t>Feedback about Criterion</w:t>
            </w:r>
          </w:p>
        </w:tc>
        <w:tc>
          <w:tcPr>
            <w:tcW w:w="1550" w:type="dxa"/>
            <w:shd w:val="clear" w:color="auto" w:fill="F79646" w:themeFill="accent6"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A17503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shd w:val="clear" w:color="auto" w:fill="F79646" w:themeFill="accent6"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A17503">
              <w:rPr>
                <w:color w:val="000000"/>
                <w:lang w:val="en-IN"/>
              </w:rPr>
              <w:t xml:space="preserve"> (%)</w:t>
            </w:r>
          </w:p>
        </w:tc>
      </w:tr>
      <w:tr w:rsidR="00CF457D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CF457D" w:rsidRDefault="00CF457D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33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F457D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CF457D" w:rsidRDefault="00CF457D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33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F457D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CF457D" w:rsidRDefault="00CF457D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3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CF457D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CF457D" w:rsidRDefault="00CF457D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3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CF457D" w:rsidRPr="00636C35" w:rsidTr="00E33A38">
        <w:trPr>
          <w:trHeight w:val="450"/>
        </w:trPr>
        <w:tc>
          <w:tcPr>
            <w:tcW w:w="1931" w:type="dxa"/>
            <w:noWrap/>
            <w:vAlign w:val="center"/>
          </w:tcPr>
          <w:p w:rsidR="00CF457D" w:rsidRDefault="00CF457D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330" w:type="dxa"/>
            <w:noWrap/>
            <w:vAlign w:val="bottom"/>
          </w:tcPr>
          <w:p w:rsidR="00CF457D" w:rsidRDefault="00CF457D" w:rsidP="00CF45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F457D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065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F457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CF457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CF457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CF457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D27376" w:rsidRPr="00785B5D" w:rsidRDefault="00CF457D" w:rsidP="00785B5D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sectPr w:rsidR="00D27376" w:rsidRPr="00785B5D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D6" w:rsidRDefault="004D07D6" w:rsidP="009569D7">
      <w:pPr>
        <w:spacing w:after="0" w:line="240" w:lineRule="auto"/>
      </w:pPr>
      <w:r>
        <w:separator/>
      </w:r>
    </w:p>
  </w:endnote>
  <w:endnote w:type="continuationSeparator" w:id="0">
    <w:p w:rsidR="004D07D6" w:rsidRDefault="004D07D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D6" w:rsidRDefault="004D07D6" w:rsidP="009569D7">
      <w:pPr>
        <w:spacing w:after="0" w:line="240" w:lineRule="auto"/>
      </w:pPr>
      <w:r>
        <w:separator/>
      </w:r>
    </w:p>
  </w:footnote>
  <w:footnote w:type="continuationSeparator" w:id="0">
    <w:p w:rsidR="004D07D6" w:rsidRDefault="004D07D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2465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2CD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0B28"/>
    <w:rsid w:val="0011217D"/>
    <w:rsid w:val="00112AA5"/>
    <w:rsid w:val="00113657"/>
    <w:rsid w:val="001139FA"/>
    <w:rsid w:val="00116859"/>
    <w:rsid w:val="00116B14"/>
    <w:rsid w:val="0011713D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373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398C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DA0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61970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31E5"/>
    <w:rsid w:val="003D5E39"/>
    <w:rsid w:val="003D6AB8"/>
    <w:rsid w:val="003D7314"/>
    <w:rsid w:val="003D7DD0"/>
    <w:rsid w:val="003E10A9"/>
    <w:rsid w:val="003E180D"/>
    <w:rsid w:val="003E47BE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474FD"/>
    <w:rsid w:val="00450D8E"/>
    <w:rsid w:val="00451383"/>
    <w:rsid w:val="00452941"/>
    <w:rsid w:val="004537CC"/>
    <w:rsid w:val="00454447"/>
    <w:rsid w:val="004549E3"/>
    <w:rsid w:val="00460868"/>
    <w:rsid w:val="00461959"/>
    <w:rsid w:val="004643F8"/>
    <w:rsid w:val="00464669"/>
    <w:rsid w:val="004657F6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642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07D6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285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3F7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6F74DB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5B5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291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05E6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376F"/>
    <w:rsid w:val="009F457C"/>
    <w:rsid w:val="009F5A17"/>
    <w:rsid w:val="009F6BB1"/>
    <w:rsid w:val="00A01CEF"/>
    <w:rsid w:val="00A11F6C"/>
    <w:rsid w:val="00A13966"/>
    <w:rsid w:val="00A15CE2"/>
    <w:rsid w:val="00A15FC7"/>
    <w:rsid w:val="00A16FB7"/>
    <w:rsid w:val="00A17503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1FA5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6FB8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E82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8EA"/>
    <w:rsid w:val="00C93AC4"/>
    <w:rsid w:val="00C9687E"/>
    <w:rsid w:val="00C97544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57D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4816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3A38"/>
    <w:rsid w:val="00E34868"/>
    <w:rsid w:val="00E34A42"/>
    <w:rsid w:val="00E35B31"/>
    <w:rsid w:val="00E36BDF"/>
    <w:rsid w:val="00E4583C"/>
    <w:rsid w:val="00E46CCA"/>
    <w:rsid w:val="00E4752F"/>
    <w:rsid w:val="00E55C20"/>
    <w:rsid w:val="00E6011B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392E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C54E0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1">
    <w:name w:val="Grid Table 6 Colorful1"/>
    <w:basedOn w:val="TableNormal"/>
    <w:uiPriority w:val="51"/>
    <w:rsid w:val="00A17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tudent%202017-18%20sanskrit%20m.a.II%20sem%20I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tudent%202017-18%20sanskrit%20m.a.II%20sem%20IV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tudent%202017-18%20sanskrit%20m.a.II%20sem%20IV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tudent%202017-18%20sanskrit%20m.a.II%20sem%20IV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Sanskrit\student%202017-18%20sanskrit%20m.a.II%20sem%20IV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tudent%202017-18%20sanskrit%20m.a.II%20sem%20I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Sheet1!$I$2:$M$2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Sheet1!$I$3:$M$3</c:f>
              <c:numCache>
                <c:formatCode>0</c:formatCode>
                <c:ptCount val="5"/>
                <c:pt idx="0">
                  <c:v>5.9259259259259265</c:v>
                </c:pt>
                <c:pt idx="1">
                  <c:v>5.9259259259259265</c:v>
                </c:pt>
                <c:pt idx="2">
                  <c:v>5.9259259259259265</c:v>
                </c:pt>
                <c:pt idx="3">
                  <c:v>5.9259259259259265</c:v>
                </c:pt>
                <c:pt idx="4">
                  <c:v>14.54545454545455</c:v>
                </c:pt>
              </c:numCache>
            </c:numRef>
          </c:val>
        </c:ser>
        <c:ser>
          <c:idx val="1"/>
          <c:order val="1"/>
          <c:tx>
            <c:strRef>
              <c:f>Sheet1!$H$4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Sheet1!$I$2:$M$2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Sheet1!$I$4:$M$4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Sheet1!$H$5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Sheet1!$I$2:$M$2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Sheet1!$I$5:$M$5</c:f>
              <c:numCache>
                <c:formatCode>0</c:formatCode>
                <c:ptCount val="5"/>
                <c:pt idx="0">
                  <c:v>53.333333333333336</c:v>
                </c:pt>
                <c:pt idx="1">
                  <c:v>54.074074074074076</c:v>
                </c:pt>
                <c:pt idx="2">
                  <c:v>49.629629629629626</c:v>
                </c:pt>
                <c:pt idx="3">
                  <c:v>51.111111111111107</c:v>
                </c:pt>
                <c:pt idx="4">
                  <c:v>45.454545454545404</c:v>
                </c:pt>
              </c:numCache>
            </c:numRef>
          </c:val>
        </c:ser>
        <c:ser>
          <c:idx val="3"/>
          <c:order val="3"/>
          <c:tx>
            <c:strRef>
              <c:f>Sheet1!$H$6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Sheet1!$I$2:$M$2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Sheet1!$I$6:$M$6</c:f>
              <c:numCache>
                <c:formatCode>0</c:formatCode>
                <c:ptCount val="5"/>
                <c:pt idx="0">
                  <c:v>40.740740740740762</c:v>
                </c:pt>
                <c:pt idx="1">
                  <c:v>40</c:v>
                </c:pt>
                <c:pt idx="2">
                  <c:v>44.444444444444386</c:v>
                </c:pt>
                <c:pt idx="3">
                  <c:v>42.962962962962962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0215808"/>
        <c:axId val="250356864"/>
        <c:axId val="0"/>
      </c:bar3DChart>
      <c:catAx>
        <c:axId val="250215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50356864"/>
        <c:crosses val="autoZero"/>
        <c:auto val="1"/>
        <c:lblAlgn val="ctr"/>
        <c:lblOffset val="100"/>
        <c:noMultiLvlLbl val="0"/>
      </c:catAx>
      <c:valAx>
        <c:axId val="2503568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502158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Sheet1!$I$11:$M$11</c:f>
              <c:numCache>
                <c:formatCode>0</c:formatCode>
                <c:ptCount val="5"/>
                <c:pt idx="0">
                  <c:v>1.0309278350515463</c:v>
                </c:pt>
                <c:pt idx="1">
                  <c:v>1.0471204188481666</c:v>
                </c:pt>
                <c:pt idx="2">
                  <c:v>1.0309278350515463</c:v>
                </c:pt>
                <c:pt idx="3">
                  <c:v>1.036269430051814</c:v>
                </c:pt>
                <c:pt idx="4">
                  <c:v>2.1739130434782608</c:v>
                </c:pt>
              </c:numCache>
            </c:numRef>
          </c:val>
        </c:ser>
        <c:ser>
          <c:idx val="1"/>
          <c:order val="1"/>
          <c:tx>
            <c:strRef>
              <c:f>Sheet1!$H$12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Sheet1!$I$12:$M$12</c:f>
              <c:numCache>
                <c:formatCode>0</c:formatCode>
                <c:ptCount val="5"/>
                <c:pt idx="0">
                  <c:v>1.5463917525773188</c:v>
                </c:pt>
                <c:pt idx="1">
                  <c:v>1.5706806282722521</c:v>
                </c:pt>
                <c:pt idx="2">
                  <c:v>1.5463917525773188</c:v>
                </c:pt>
                <c:pt idx="3">
                  <c:v>1.5544041450777202</c:v>
                </c:pt>
                <c:pt idx="4">
                  <c:v>3.2608695652173938</c:v>
                </c:pt>
              </c:numCache>
            </c:numRef>
          </c:val>
        </c:ser>
        <c:ser>
          <c:idx val="2"/>
          <c:order val="2"/>
          <c:tx>
            <c:strRef>
              <c:f>Sheet1!$H$13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Sheet1!$I$13:$M$13</c:f>
              <c:numCache>
                <c:formatCode>0</c:formatCode>
                <c:ptCount val="5"/>
                <c:pt idx="0">
                  <c:v>48.45360824742265</c:v>
                </c:pt>
                <c:pt idx="1">
                  <c:v>47.643979057591594</c:v>
                </c:pt>
                <c:pt idx="2">
                  <c:v>50</c:v>
                </c:pt>
                <c:pt idx="3">
                  <c:v>48.186528497409327</c:v>
                </c:pt>
                <c:pt idx="4">
                  <c:v>40.217391304347828</c:v>
                </c:pt>
              </c:numCache>
            </c:numRef>
          </c:val>
        </c:ser>
        <c:ser>
          <c:idx val="3"/>
          <c:order val="3"/>
          <c:tx>
            <c:strRef>
              <c:f>Sheet1!$H$14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Sheet1!$I$14:$M$14</c:f>
              <c:numCache>
                <c:formatCode>0</c:formatCode>
                <c:ptCount val="5"/>
                <c:pt idx="0">
                  <c:v>48.96907216494845</c:v>
                </c:pt>
                <c:pt idx="1">
                  <c:v>49.738219895287962</c:v>
                </c:pt>
                <c:pt idx="2">
                  <c:v>47.422680412371129</c:v>
                </c:pt>
                <c:pt idx="3">
                  <c:v>49.222797927461173</c:v>
                </c:pt>
                <c:pt idx="4">
                  <c:v>54.347826086956466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0407552"/>
        <c:axId val="250614144"/>
        <c:axId val="0"/>
      </c:bar3DChart>
      <c:catAx>
        <c:axId val="250407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50614144"/>
        <c:crosses val="autoZero"/>
        <c:auto val="1"/>
        <c:lblAlgn val="ctr"/>
        <c:lblOffset val="100"/>
        <c:noMultiLvlLbl val="0"/>
      </c:catAx>
      <c:valAx>
        <c:axId val="25061414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5040755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Project/Seminar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Sheet1!$H$19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Sheet1!$I$18:$M$18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Sheet1!$I$19:$M$19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Sheet1!$H$20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Sheet1!$I$18:$M$18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Sheet1!$I$20:$M$20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Sheet1!$H$21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Sheet1!$I$18:$M$18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Sheet1!$I$21:$M$21</c:f>
              <c:numCache>
                <c:formatCode>0</c:formatCode>
                <c:ptCount val="5"/>
                <c:pt idx="0">
                  <c:v>46.37681159420287</c:v>
                </c:pt>
                <c:pt idx="1">
                  <c:v>49.275362318840614</c:v>
                </c:pt>
                <c:pt idx="2">
                  <c:v>62.318840579710077</c:v>
                </c:pt>
                <c:pt idx="3">
                  <c:v>55.072463768115952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Sheet1!$H$22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Sheet1!$I$18:$M$18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Sheet1!$I$22:$M$22</c:f>
              <c:numCache>
                <c:formatCode>0</c:formatCode>
                <c:ptCount val="5"/>
                <c:pt idx="0">
                  <c:v>53.623188405797094</c:v>
                </c:pt>
                <c:pt idx="1">
                  <c:v>50.724637681159422</c:v>
                </c:pt>
                <c:pt idx="2">
                  <c:v>37.681159420289859</c:v>
                </c:pt>
                <c:pt idx="3">
                  <c:v>44.927536231884062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0640256"/>
        <c:axId val="250641792"/>
        <c:axId val="0"/>
      </c:bar3DChart>
      <c:catAx>
        <c:axId val="250640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50641792"/>
        <c:crosses val="autoZero"/>
        <c:auto val="1"/>
        <c:lblAlgn val="ctr"/>
        <c:lblOffset val="100"/>
        <c:noMultiLvlLbl val="0"/>
      </c:catAx>
      <c:valAx>
        <c:axId val="250641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06402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Over All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Sheet1!$H$26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Sheet1!$I$25:$M$25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Sheet1!$I$26:$M$26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Sheet1!$H$27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Sheet1!$I$25:$M$25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Sheet1!$I$27:$M$27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Sheet1!$H$28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Sheet1!$I$25:$M$25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Sheet1!$I$28:$M$28</c:f>
              <c:numCache>
                <c:formatCode>General</c:formatCode>
                <c:ptCount val="5"/>
                <c:pt idx="0" formatCode="0">
                  <c:v>54.166666666666607</c:v>
                </c:pt>
                <c:pt idx="1">
                  <c:v>50</c:v>
                </c:pt>
                <c:pt idx="2">
                  <c:v>52</c:v>
                </c:pt>
                <c:pt idx="3" formatCode="0">
                  <c:v>56.25</c:v>
                </c:pt>
                <c:pt idx="4" formatCode="0">
                  <c:v>52.380952380952387</c:v>
                </c:pt>
              </c:numCache>
            </c:numRef>
          </c:val>
        </c:ser>
        <c:ser>
          <c:idx val="3"/>
          <c:order val="3"/>
          <c:tx>
            <c:strRef>
              <c:f>Sheet1!$H$29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Sheet1!$I$25:$M$25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Sheet1!$I$29:$M$29</c:f>
              <c:numCache>
                <c:formatCode>General</c:formatCode>
                <c:ptCount val="5"/>
                <c:pt idx="0" formatCode="0">
                  <c:v>45.833333333333329</c:v>
                </c:pt>
                <c:pt idx="1">
                  <c:v>50</c:v>
                </c:pt>
                <c:pt idx="2">
                  <c:v>48</c:v>
                </c:pt>
                <c:pt idx="3" formatCode="0">
                  <c:v>43.75</c:v>
                </c:pt>
                <c:pt idx="4" formatCode="0">
                  <c:v>47.619047619047549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1020416"/>
        <c:axId val="251021952"/>
        <c:axId val="0"/>
      </c:bar3DChart>
      <c:catAx>
        <c:axId val="251020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51021952"/>
        <c:crosses val="autoZero"/>
        <c:auto val="1"/>
        <c:lblAlgn val="ctr"/>
        <c:lblOffset val="100"/>
        <c:noMultiLvlLbl val="0"/>
      </c:catAx>
      <c:valAx>
        <c:axId val="251021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102041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Sheet1!$G$33:$H$33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Sheet1!$G$34:$H$34</c:f>
              <c:numCache>
                <c:formatCode>0</c:formatCode>
                <c:ptCount val="2"/>
                <c:pt idx="0">
                  <c:v>88.888888888888772</c:v>
                </c:pt>
                <c:pt idx="1">
                  <c:v>11.111111111111098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0810368"/>
        <c:axId val="250811904"/>
        <c:axId val="0"/>
      </c:bar3DChart>
      <c:catAx>
        <c:axId val="25081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811904"/>
        <c:crosses val="autoZero"/>
        <c:auto val="1"/>
        <c:lblAlgn val="ctr"/>
        <c:lblOffset val="100"/>
        <c:noMultiLvlLbl val="0"/>
      </c:catAx>
      <c:valAx>
        <c:axId val="25081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81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Sheet1!$G$39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Sheet1!$F$40:$F$44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Sheet1!$G$40:$G$44</c:f>
              <c:numCache>
                <c:formatCode>0</c:formatCode>
                <c:ptCount val="5"/>
                <c:pt idx="0">
                  <c:v>93.75</c:v>
                </c:pt>
                <c:pt idx="1">
                  <c:v>87.5</c:v>
                </c:pt>
                <c:pt idx="2">
                  <c:v>37.5</c:v>
                </c:pt>
                <c:pt idx="3">
                  <c:v>37.5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Sheet1!$H$39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Sheet1!$F$40:$F$44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Sheet1!$H$40:$H$44</c:f>
              <c:numCache>
                <c:formatCode>0</c:formatCode>
                <c:ptCount val="5"/>
                <c:pt idx="0">
                  <c:v>6.25</c:v>
                </c:pt>
                <c:pt idx="1">
                  <c:v>12.5</c:v>
                </c:pt>
                <c:pt idx="2">
                  <c:v>62.5</c:v>
                </c:pt>
                <c:pt idx="3">
                  <c:v>62.5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0838400"/>
        <c:axId val="250848384"/>
        <c:axId val="0"/>
      </c:bar3DChart>
      <c:catAx>
        <c:axId val="250838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50848384"/>
        <c:crosses val="autoZero"/>
        <c:auto val="1"/>
        <c:lblAlgn val="ctr"/>
        <c:lblOffset val="100"/>
        <c:noMultiLvlLbl val="0"/>
      </c:catAx>
      <c:valAx>
        <c:axId val="2508483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5083840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63A5-8901-4D8A-80FB-75E08CB0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4</cp:revision>
  <dcterms:created xsi:type="dcterms:W3CDTF">2018-07-10T05:54:00Z</dcterms:created>
  <dcterms:modified xsi:type="dcterms:W3CDTF">2018-10-16T12:50:00Z</dcterms:modified>
</cp:coreProperties>
</file>