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62384C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>Semester-</w:t>
      </w:r>
      <w:r w:rsidR="00C67BAE">
        <w:rPr>
          <w:rFonts w:ascii="Times New Roman" w:hAnsi="Times New Roman" w:cs="Times New Roman"/>
          <w:b/>
          <w:sz w:val="24"/>
          <w:szCs w:val="24"/>
        </w:rPr>
        <w:t>I</w:t>
      </w:r>
      <w:r w:rsidR="00D35AD3">
        <w:rPr>
          <w:rFonts w:ascii="Times New Roman" w:hAnsi="Times New Roman" w:cs="Times New Roman"/>
          <w:b/>
          <w:sz w:val="24"/>
          <w:szCs w:val="24"/>
        </w:rPr>
        <w:t>V</w:t>
      </w:r>
      <w:r w:rsidR="00FE7012">
        <w:rPr>
          <w:rFonts w:ascii="Times New Roman" w:hAnsi="Times New Roman" w:cs="Times New Roman"/>
          <w:b/>
          <w:sz w:val="24"/>
          <w:szCs w:val="24"/>
        </w:rPr>
        <w:t>,</w:t>
      </w:r>
      <w:r w:rsidR="00FF3FF3">
        <w:rPr>
          <w:rFonts w:ascii="Times New Roman" w:hAnsi="Times New Roman" w:cs="Times New Roman"/>
          <w:b/>
          <w:sz w:val="24"/>
          <w:szCs w:val="24"/>
        </w:rPr>
        <w:t xml:space="preserve"> M.A., </w:t>
      </w:r>
      <w:r w:rsidR="007A1F04">
        <w:rPr>
          <w:rFonts w:ascii="Times New Roman" w:hAnsi="Times New Roman" w:cs="Times New Roman"/>
          <w:b/>
          <w:sz w:val="24"/>
          <w:szCs w:val="24"/>
        </w:rPr>
        <w:t>Psychology</w:t>
      </w:r>
      <w:r w:rsidR="00FE7012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  <w:r w:rsidR="007A1F04">
        <w:rPr>
          <w:rFonts w:ascii="Times New Roman" w:hAnsi="Times New Roman" w:cs="Times New Roman"/>
          <w:b/>
          <w:sz w:val="24"/>
          <w:szCs w:val="24"/>
        </w:rPr>
        <w:t>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</w:t>
      </w:r>
      <w:r w:rsidR="00190E69">
        <w:rPr>
          <w:rFonts w:ascii="Times New Roman" w:hAnsi="Times New Roman" w:cs="Times New Roman"/>
          <w:sz w:val="24"/>
          <w:szCs w:val="24"/>
        </w:rPr>
        <w:t xml:space="preserve"> updates understanding in this </w:t>
      </w:r>
      <w:proofErr w:type="spellStart"/>
      <w:r w:rsidR="00190E69">
        <w:rPr>
          <w:rFonts w:ascii="Times New Roman" w:hAnsi="Times New Roman" w:cs="Times New Roman"/>
          <w:sz w:val="24"/>
          <w:szCs w:val="24"/>
        </w:rPr>
        <w:t>f</w:t>
      </w:r>
      <w:r w:rsidRPr="00636C35">
        <w:rPr>
          <w:rFonts w:ascii="Times New Roman" w:hAnsi="Times New Roman" w:cs="Times New Roman"/>
          <w:sz w:val="24"/>
          <w:szCs w:val="24"/>
        </w:rPr>
        <w:t>ield</w:t>
      </w:r>
      <w:r w:rsidRPr="002D120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D1208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6D7142" w:rsidRDefault="006D7142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05" w:type="dxa"/>
        <w:tblLook w:val="04A0" w:firstRow="1" w:lastRow="0" w:firstColumn="1" w:lastColumn="0" w:noHBand="0" w:noVBand="1"/>
      </w:tblPr>
      <w:tblGrid>
        <w:gridCol w:w="1118"/>
        <w:gridCol w:w="906"/>
        <w:gridCol w:w="899"/>
        <w:gridCol w:w="817"/>
        <w:gridCol w:w="776"/>
        <w:gridCol w:w="864"/>
        <w:gridCol w:w="840"/>
        <w:gridCol w:w="791"/>
        <w:gridCol w:w="864"/>
        <w:gridCol w:w="864"/>
        <w:gridCol w:w="766"/>
      </w:tblGrid>
      <w:tr w:rsidR="00D53465" w:rsidRPr="001F1E21" w:rsidTr="0062384C">
        <w:trPr>
          <w:trHeight w:val="591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  <w:t>Grade</w:t>
            </w:r>
          </w:p>
        </w:tc>
        <w:tc>
          <w:tcPr>
            <w:tcW w:w="1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Sub1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Sub2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Sub3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Sub4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Sub5</w:t>
            </w:r>
          </w:p>
        </w:tc>
      </w:tr>
      <w:tr w:rsidR="00D53465" w:rsidRPr="001F1E21" w:rsidTr="0062384C">
        <w:trPr>
          <w:trHeight w:val="660"/>
        </w:trPr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465" w:rsidRPr="001F1E21" w:rsidRDefault="00D53465" w:rsidP="0011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53465" w:rsidRPr="001F1E21" w:rsidRDefault="00D53465" w:rsidP="0011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53465" w:rsidRPr="001F1E21" w:rsidRDefault="00D53465" w:rsidP="0011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53465" w:rsidRPr="001F1E21" w:rsidRDefault="00D53465" w:rsidP="0011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53465" w:rsidRPr="001F1E21" w:rsidRDefault="00D53465" w:rsidP="0011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53465" w:rsidRPr="001F1E21" w:rsidRDefault="00D53465" w:rsidP="0011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E42A1" w:rsidRPr="00436755" w:rsidTr="0062384C">
        <w:trPr>
          <w:trHeight w:val="684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5AD3" w:rsidRPr="00436755" w:rsidRDefault="00D35AD3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43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E42A1" w:rsidRPr="00436755" w:rsidTr="0062384C">
        <w:trPr>
          <w:trHeight w:val="777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5AD3" w:rsidRPr="00436755" w:rsidRDefault="00D35AD3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43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BE42A1" w:rsidRPr="00436755" w:rsidTr="0062384C">
        <w:trPr>
          <w:trHeight w:val="672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5AD3" w:rsidRPr="00436755" w:rsidRDefault="00D35AD3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43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BE42A1" w:rsidRPr="00436755" w:rsidTr="0062384C">
        <w:trPr>
          <w:trHeight w:val="672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5AD3" w:rsidRPr="00436755" w:rsidRDefault="00D35AD3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43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BE42A1" w:rsidRPr="00436755" w:rsidTr="0062384C">
        <w:trPr>
          <w:trHeight w:val="788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5AD3" w:rsidRPr="00436755" w:rsidRDefault="00D35AD3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43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AD3" w:rsidRDefault="00D35A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6D7142" w:rsidRPr="00436755" w:rsidRDefault="006D7142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DA3" w:rsidRDefault="0068082D" w:rsidP="0062384C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804012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7142" w:rsidRDefault="006D7142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ab/>
      </w:r>
    </w:p>
    <w:p w:rsidR="0098667D" w:rsidRDefault="003F4C3F" w:rsidP="00400721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Sub1</w:t>
      </w:r>
      <w:r w:rsidR="00400721">
        <w:rPr>
          <w:b/>
          <w:noProof/>
          <w:sz w:val="24"/>
          <w:szCs w:val="24"/>
          <w:lang w:val="en-IN" w:eastAsia="en-IN"/>
        </w:rPr>
        <w:t xml:space="preserve"> </w:t>
      </w:r>
    </w:p>
    <w:p w:rsidR="0033095A" w:rsidRDefault="0033095A" w:rsidP="003F4C3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873F82" w:rsidRPr="00236F1C" w:rsidRDefault="00F83296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F8329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F8329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6A4CF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3296">
        <w:rPr>
          <w:rFonts w:ascii="Times New Roman" w:hAnsi="Times New Roman" w:cs="Times New Roman"/>
          <w:sz w:val="24"/>
          <w:szCs w:val="24"/>
        </w:rPr>
        <w:t>0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667D" w:rsidRDefault="00A96EEA" w:rsidP="00400721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  <w:r w:rsidR="00400721">
        <w:rPr>
          <w:b/>
          <w:noProof/>
          <w:sz w:val="24"/>
          <w:szCs w:val="24"/>
          <w:lang w:val="en-IN" w:eastAsia="en-IN"/>
        </w:rPr>
        <w:t xml:space="preserve"> </w:t>
      </w: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F8329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400721">
        <w:rPr>
          <w:rFonts w:ascii="Times New Roman" w:hAnsi="Times New Roman" w:cs="Times New Roman"/>
          <w:sz w:val="24"/>
          <w:szCs w:val="24"/>
        </w:rPr>
        <w:t xml:space="preserve">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F83296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D15E3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F8329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98667D" w:rsidRDefault="00A96EEA" w:rsidP="00400721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F8329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A0577A" w:rsidRPr="00236F1C" w:rsidRDefault="00F83296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3095A" w:rsidRPr="00A0577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 w:rsidRPr="00A0577A">
        <w:rPr>
          <w:rFonts w:ascii="Times New Roman" w:hAnsi="Times New Roman" w:cs="Times New Roman"/>
          <w:sz w:val="24"/>
          <w:szCs w:val="24"/>
        </w:rPr>
        <w:t>Sub3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A0577A" w:rsidRDefault="00F8329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6512AB" w:rsidRPr="00A0577A">
        <w:rPr>
          <w:rFonts w:ascii="Times New Roman" w:hAnsi="Times New Roman" w:cs="Times New Roman"/>
          <w:sz w:val="24"/>
          <w:szCs w:val="24"/>
        </w:rPr>
        <w:t>%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 w:rsidRPr="00A0577A">
        <w:rPr>
          <w:rFonts w:ascii="Times New Roman" w:hAnsi="Times New Roman" w:cs="Times New Roman"/>
          <w:sz w:val="24"/>
          <w:szCs w:val="24"/>
        </w:rPr>
        <w:t>Sub3</w:t>
      </w:r>
      <w:r w:rsidR="0033095A" w:rsidRPr="00A0577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F8329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67D" w:rsidRDefault="00A96EEA" w:rsidP="00400721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  <w:r w:rsidR="00400721">
        <w:rPr>
          <w:b/>
          <w:noProof/>
          <w:sz w:val="24"/>
          <w:szCs w:val="24"/>
          <w:lang w:val="en-IN" w:eastAsia="en-IN"/>
        </w:rPr>
        <w:t xml:space="preserve"> </w:t>
      </w: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A73AD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296">
        <w:rPr>
          <w:rFonts w:ascii="Times New Roman" w:hAnsi="Times New Roman" w:cs="Times New Roman"/>
          <w:sz w:val="24"/>
          <w:szCs w:val="24"/>
        </w:rPr>
        <w:t>2</w:t>
      </w:r>
      <w:r w:rsidR="00A0577A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F83296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F8329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9155D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3296">
        <w:rPr>
          <w:rFonts w:ascii="Times New Roman" w:hAnsi="Times New Roman" w:cs="Times New Roman"/>
          <w:sz w:val="24"/>
          <w:szCs w:val="24"/>
        </w:rPr>
        <w:t>0</w:t>
      </w:r>
      <w:r w:rsidR="00A0577A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98667D" w:rsidRDefault="0031705C" w:rsidP="00400721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076D43" w:rsidRPr="00076D43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9155D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A17891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9155D8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3EB2">
        <w:rPr>
          <w:rFonts w:ascii="Times New Roman" w:hAnsi="Times New Roman" w:cs="Times New Roman"/>
          <w:sz w:val="24"/>
          <w:szCs w:val="24"/>
        </w:rPr>
        <w:t>5</w:t>
      </w:r>
      <w:r w:rsidR="006512A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0A3EB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0A3EB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7891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927691" w:rsidRDefault="00927691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classuse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communicationclarity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6271CA" w:rsidRDefault="00496D52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tbl>
      <w:tblPr>
        <w:tblW w:w="9714" w:type="dxa"/>
        <w:tblInd w:w="93" w:type="dxa"/>
        <w:tblLook w:val="04A0" w:firstRow="1" w:lastRow="0" w:firstColumn="1" w:lastColumn="0" w:noHBand="0" w:noVBand="1"/>
      </w:tblPr>
      <w:tblGrid>
        <w:gridCol w:w="1019"/>
        <w:gridCol w:w="773"/>
        <w:gridCol w:w="966"/>
        <w:gridCol w:w="773"/>
        <w:gridCol w:w="966"/>
        <w:gridCol w:w="773"/>
        <w:gridCol w:w="966"/>
        <w:gridCol w:w="773"/>
        <w:gridCol w:w="966"/>
        <w:gridCol w:w="773"/>
        <w:gridCol w:w="966"/>
      </w:tblGrid>
      <w:tr w:rsidR="00D53465" w:rsidRPr="00D53465" w:rsidTr="0062384C">
        <w:trPr>
          <w:trHeight w:val="821"/>
        </w:trPr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  <w:t>Grade</w:t>
            </w:r>
          </w:p>
        </w:tc>
        <w:tc>
          <w:tcPr>
            <w:tcW w:w="1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534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Sub1</w:t>
            </w:r>
          </w:p>
        </w:tc>
        <w:tc>
          <w:tcPr>
            <w:tcW w:w="1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534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Sub2</w:t>
            </w:r>
          </w:p>
        </w:tc>
        <w:tc>
          <w:tcPr>
            <w:tcW w:w="1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534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Sub3</w:t>
            </w:r>
          </w:p>
        </w:tc>
        <w:tc>
          <w:tcPr>
            <w:tcW w:w="1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534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Sub4</w:t>
            </w:r>
          </w:p>
        </w:tc>
        <w:tc>
          <w:tcPr>
            <w:tcW w:w="1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534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Sub5</w:t>
            </w:r>
          </w:p>
        </w:tc>
      </w:tr>
      <w:tr w:rsidR="00D53465" w:rsidRPr="00D53465" w:rsidTr="0062384C">
        <w:trPr>
          <w:trHeight w:val="693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53465" w:rsidRPr="00D53465" w:rsidTr="0062384C">
        <w:trPr>
          <w:trHeight w:val="693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D53465" w:rsidRPr="00D53465" w:rsidTr="0062384C">
        <w:trPr>
          <w:trHeight w:val="693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D53465" w:rsidRPr="00D53465" w:rsidTr="0062384C">
        <w:trPr>
          <w:trHeight w:val="693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D53465" w:rsidRPr="00D53465" w:rsidTr="0062384C">
        <w:trPr>
          <w:trHeight w:val="693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D53465" w:rsidRPr="00D53465" w:rsidTr="0062384C">
        <w:trPr>
          <w:trHeight w:val="662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D53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D53465" w:rsidRPr="00D53465" w:rsidTr="0062384C">
        <w:trPr>
          <w:trHeight w:val="263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465" w:rsidRPr="00D53465" w:rsidRDefault="00D53465" w:rsidP="00D53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4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3095A" w:rsidRDefault="0033095A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0929BF" w:rsidRDefault="00B639B4" w:rsidP="0062384C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0721" w:rsidRDefault="00400721" w:rsidP="00400721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98667D" w:rsidRDefault="006271CA" w:rsidP="00400721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6271CA">
        <w:rPr>
          <w:b/>
          <w:noProof/>
          <w:sz w:val="24"/>
          <w:szCs w:val="24"/>
          <w:lang w:val="en-IN" w:eastAsia="en-IN"/>
        </w:rPr>
        <w:t>Sub1</w:t>
      </w:r>
    </w:p>
    <w:p w:rsidR="0098667D" w:rsidRDefault="0098667D" w:rsidP="00400721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271CA" w:rsidRPr="006271CA" w:rsidRDefault="006271CA" w:rsidP="006271C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3095A" w:rsidRPr="00ED115A" w:rsidRDefault="00B639B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DC79D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>rated performance of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Sub1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>as outstanding</w:t>
      </w:r>
    </w:p>
    <w:p w:rsidR="00BA70BF" w:rsidRPr="00ED115A" w:rsidRDefault="00B639B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="00523633" w:rsidRPr="00ED115A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>of the students have rate</w:t>
      </w:r>
      <w:r w:rsidR="00282929" w:rsidRPr="00ED115A">
        <w:rPr>
          <w:rFonts w:ascii="Times New Roman" w:hAnsi="Times New Roman" w:cs="Times New Roman"/>
          <w:bCs/>
          <w:sz w:val="24"/>
          <w:szCs w:val="24"/>
        </w:rPr>
        <w:t xml:space="preserve">d </w:t>
      </w:r>
      <w:r w:rsidR="00400721">
        <w:rPr>
          <w:rFonts w:ascii="Times New Roman" w:hAnsi="Times New Roman" w:cs="Times New Roman"/>
          <w:bCs/>
          <w:sz w:val="24"/>
          <w:szCs w:val="24"/>
        </w:rPr>
        <w:t>performance of  teacher of sub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   Sub1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 xml:space="preserve"> as Excellent</w:t>
      </w:r>
    </w:p>
    <w:p w:rsidR="0033095A" w:rsidRPr="00ED115A" w:rsidRDefault="00B639B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33</w:t>
      </w:r>
      <w:r w:rsidR="00523633" w:rsidRPr="00ED115A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of the students have rated </w:t>
      </w:r>
      <w:r w:rsidR="00400721">
        <w:rPr>
          <w:rFonts w:ascii="Times New Roman" w:hAnsi="Times New Roman" w:cs="Times New Roman"/>
          <w:bCs/>
          <w:sz w:val="24"/>
          <w:szCs w:val="24"/>
        </w:rPr>
        <w:t>performance of  teacher of sub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   Sub1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as good</w:t>
      </w:r>
    </w:p>
    <w:p w:rsidR="0033095A" w:rsidRPr="00D549BA" w:rsidRDefault="00B639B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BD1E75">
        <w:rPr>
          <w:rFonts w:ascii="Times New Roman" w:hAnsi="Times New Roman" w:cs="Times New Roman"/>
          <w:bCs/>
          <w:sz w:val="24"/>
          <w:szCs w:val="24"/>
        </w:rPr>
        <w:t>%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of the students have rated </w:t>
      </w:r>
      <w:r w:rsidR="00400721">
        <w:rPr>
          <w:rFonts w:ascii="Times New Roman" w:hAnsi="Times New Roman" w:cs="Times New Roman"/>
          <w:bCs/>
          <w:sz w:val="24"/>
          <w:szCs w:val="24"/>
        </w:rPr>
        <w:t>performance of  teacher of sub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  Sub1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667D" w:rsidRDefault="00316DB4" w:rsidP="00400721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  <w:r w:rsidR="00400721">
        <w:rPr>
          <w:b/>
          <w:noProof/>
          <w:sz w:val="24"/>
          <w:szCs w:val="24"/>
          <w:lang w:val="en-IN" w:eastAsia="en-IN"/>
        </w:rPr>
        <w:t xml:space="preserve"> </w:t>
      </w:r>
    </w:p>
    <w:p w:rsidR="0098667D" w:rsidRDefault="0098667D" w:rsidP="00400721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16DB4" w:rsidRPr="00316DB4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</w:p>
    <w:p w:rsidR="00F00C5E" w:rsidRPr="00BA70BF" w:rsidRDefault="00B639B4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0721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4B71A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39B4">
        <w:rPr>
          <w:rFonts w:ascii="Times New Roman" w:hAnsi="Times New Roman" w:cs="Times New Roman"/>
          <w:sz w:val="24"/>
          <w:szCs w:val="24"/>
        </w:rPr>
        <w:t>3</w:t>
      </w:r>
      <w:r w:rsidR="0033095A" w:rsidRPr="00F00C5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0721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B639B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0721">
        <w:rPr>
          <w:rFonts w:ascii="Times New Roman" w:hAnsi="Times New Roman" w:cs="Times New Roman"/>
          <w:sz w:val="24"/>
          <w:szCs w:val="24"/>
        </w:rPr>
        <w:t>performance of  teacher of sub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B639B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0721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98667D" w:rsidRDefault="00316DB4" w:rsidP="00400721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  <w:r w:rsidR="00400721">
        <w:rPr>
          <w:b/>
          <w:noProof/>
          <w:sz w:val="24"/>
          <w:szCs w:val="24"/>
          <w:lang w:val="en-IN" w:eastAsia="en-IN"/>
        </w:rPr>
        <w:t xml:space="preserve"> </w:t>
      </w:r>
    </w:p>
    <w:p w:rsidR="0098667D" w:rsidRDefault="0098667D" w:rsidP="00400721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16DB4" w:rsidRPr="00316DB4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</w:p>
    <w:p w:rsidR="00F00C5E" w:rsidRPr="00BA70BF" w:rsidRDefault="00B639B4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00721">
        <w:rPr>
          <w:rFonts w:ascii="Times New Roman" w:hAnsi="Times New Roman" w:cs="Times New Roman"/>
          <w:sz w:val="24"/>
          <w:szCs w:val="24"/>
        </w:rPr>
        <w:t>performance of  teacher of sub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282929" w:rsidRPr="00F00C5E" w:rsidRDefault="00B639B4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0721">
        <w:rPr>
          <w:rFonts w:ascii="Times New Roman" w:hAnsi="Times New Roman" w:cs="Times New Roman"/>
          <w:sz w:val="24"/>
          <w:szCs w:val="24"/>
        </w:rPr>
        <w:t>performance of  teacher of sub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B639B4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23633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0721">
        <w:rPr>
          <w:rFonts w:ascii="Times New Roman" w:hAnsi="Times New Roman" w:cs="Times New Roman"/>
          <w:sz w:val="24"/>
          <w:szCs w:val="24"/>
        </w:rPr>
        <w:t>performance of  teacher of sub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282929" w:rsidRPr="00D549BA" w:rsidRDefault="00B639B4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0721">
        <w:rPr>
          <w:rFonts w:ascii="Times New Roman" w:hAnsi="Times New Roman" w:cs="Times New Roman"/>
          <w:sz w:val="24"/>
          <w:szCs w:val="24"/>
        </w:rPr>
        <w:t>performance of  teacher of sub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67D" w:rsidRDefault="00316DB4" w:rsidP="00400721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98667D" w:rsidRDefault="0098667D" w:rsidP="00400721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16DB4" w:rsidRPr="00316DB4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</w:p>
    <w:p w:rsidR="00F00C5E" w:rsidRPr="00D549BA" w:rsidRDefault="004B71A3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C86651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00721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B639B4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0721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B639B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A82E3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0721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B639B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0721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94499" w:rsidRPr="00D549BA" w:rsidRDefault="00094499" w:rsidP="0033095A">
      <w:pPr>
        <w:rPr>
          <w:rFonts w:ascii="Times New Roman" w:hAnsi="Times New Roman" w:cs="Times New Roman"/>
          <w:sz w:val="24"/>
          <w:szCs w:val="24"/>
        </w:rPr>
      </w:pPr>
    </w:p>
    <w:p w:rsidR="0098667D" w:rsidRDefault="00316DB4" w:rsidP="00400721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98667D" w:rsidRDefault="0098667D" w:rsidP="00400721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16DB4" w:rsidRPr="00316DB4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bookmarkStart w:id="0" w:name="_GoBack"/>
      <w:bookmarkEnd w:id="0"/>
    </w:p>
    <w:p w:rsidR="0033095A" w:rsidRPr="00A82E32" w:rsidRDefault="00B639B4" w:rsidP="00A82E3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7B660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0721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A82E32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A82E32" w:rsidRPr="00F00C5E" w:rsidRDefault="00B639B4" w:rsidP="00A82E3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3095A" w:rsidRPr="00A82E3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0721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as </w:t>
      </w:r>
      <w:r w:rsidR="00A82E32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A82E32" w:rsidRDefault="00B639B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82E3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00721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A82E32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B639B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6601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00721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4C3AB2" w:rsidRDefault="004C3AB2" w:rsidP="004C3AB2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Sufficient number of practical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E034E5" w:rsidRPr="004C3AB2" w:rsidRDefault="0033095A" w:rsidP="004C3A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9776" w:type="dxa"/>
        <w:tblInd w:w="98" w:type="dxa"/>
        <w:tblLook w:val="04A0" w:firstRow="1" w:lastRow="0" w:firstColumn="1" w:lastColumn="0" w:noHBand="0" w:noVBand="1"/>
      </w:tblPr>
      <w:tblGrid>
        <w:gridCol w:w="1048"/>
        <w:gridCol w:w="766"/>
        <w:gridCol w:w="925"/>
        <w:gridCol w:w="766"/>
        <w:gridCol w:w="925"/>
        <w:gridCol w:w="807"/>
        <w:gridCol w:w="738"/>
        <w:gridCol w:w="1021"/>
        <w:gridCol w:w="972"/>
        <w:gridCol w:w="963"/>
        <w:gridCol w:w="845"/>
      </w:tblGrid>
      <w:tr w:rsidR="00D53465" w:rsidRPr="001F1E21" w:rsidTr="009D507B">
        <w:trPr>
          <w:trHeight w:val="574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  <w:lastRenderedPageBreak/>
              <w:t>Grade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Sub2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Sub3</w:t>
            </w:r>
          </w:p>
        </w:tc>
        <w:tc>
          <w:tcPr>
            <w:tcW w:w="1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Sub4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Sub5</w:t>
            </w:r>
          </w:p>
        </w:tc>
      </w:tr>
      <w:tr w:rsidR="00D53465" w:rsidRPr="001F1E21" w:rsidTr="009D507B">
        <w:trPr>
          <w:trHeight w:val="646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53465" w:rsidRPr="00803AD2" w:rsidRDefault="00D53465" w:rsidP="00A0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F2821" w:rsidRPr="001F1E21" w:rsidTr="00190E69">
        <w:trPr>
          <w:trHeight w:val="646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821" w:rsidRPr="001F1E21" w:rsidRDefault="007F2821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7F2821" w:rsidRPr="001F1E21" w:rsidTr="00190E69">
        <w:trPr>
          <w:trHeight w:val="646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821" w:rsidRPr="001F1E21" w:rsidRDefault="007F2821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7F2821" w:rsidRPr="001F1E21" w:rsidTr="00190E69">
        <w:trPr>
          <w:trHeight w:val="646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821" w:rsidRPr="001F1E21" w:rsidRDefault="007F2821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7F2821" w:rsidRPr="001F1E21" w:rsidTr="00190E69">
        <w:trPr>
          <w:trHeight w:val="646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821" w:rsidRPr="001F1E21" w:rsidRDefault="007F2821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7F2821" w:rsidRPr="001F1E21" w:rsidTr="00190E69">
        <w:trPr>
          <w:trHeight w:val="646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821" w:rsidRPr="001F1E21" w:rsidRDefault="007F2821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821" w:rsidRDefault="007F2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7463D2" w:rsidRDefault="007F2821" w:rsidP="00190E69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D65AC" w:rsidRPr="000D65AC" w:rsidRDefault="000D65AC" w:rsidP="000D65A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Sub1</w:t>
      </w:r>
    </w:p>
    <w:p w:rsidR="0033095A" w:rsidRPr="00236F1C" w:rsidRDefault="007F28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414A9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7F28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Sub1 </w:t>
      </w:r>
      <w:proofErr w:type="spellStart"/>
      <w:r w:rsidR="0033095A" w:rsidRPr="00236F1C">
        <w:rPr>
          <w:rFonts w:ascii="Times New Roman" w:hAnsi="Times New Roman" w:cs="Times New Roman"/>
          <w:sz w:val="24"/>
          <w:szCs w:val="24"/>
        </w:rPr>
        <w:t>as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  <w:proofErr w:type="spellEnd"/>
    </w:p>
    <w:p w:rsidR="0033095A" w:rsidRPr="00236F1C" w:rsidRDefault="007F28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D65AC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7F28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414A9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 w:rsidRPr="00C21EE9">
        <w:rPr>
          <w:bCs/>
          <w:noProof/>
          <w:sz w:val="24"/>
          <w:szCs w:val="24"/>
          <w:lang w:val="en-IN" w:eastAsia="en-IN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0D65AC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33095A" w:rsidRPr="00236F1C" w:rsidRDefault="007F28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F0DE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7F28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7F28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D65AC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7F28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F0DE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A5EE7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5EE7" w:rsidRPr="00CA5EE7" w:rsidRDefault="00CA5EE7" w:rsidP="00CA5EE7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5EE7">
        <w:rPr>
          <w:b/>
          <w:noProof/>
          <w:sz w:val="24"/>
          <w:szCs w:val="24"/>
          <w:lang w:val="en-IN" w:eastAsia="en-IN"/>
        </w:rPr>
        <w:t>Sub</w:t>
      </w:r>
      <w:r>
        <w:rPr>
          <w:b/>
          <w:noProof/>
          <w:sz w:val="24"/>
          <w:szCs w:val="24"/>
          <w:lang w:val="en-IN" w:eastAsia="en-IN"/>
        </w:rPr>
        <w:t>3</w:t>
      </w:r>
    </w:p>
    <w:p w:rsidR="00920DCE" w:rsidRPr="00236F1C" w:rsidRDefault="007F2821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7F2821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3095A" w:rsidRPr="00920DC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7F28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7F28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A5EE7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920DCE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33095A" w:rsidRPr="00236F1C" w:rsidRDefault="007F28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7F2821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43394" w:rsidRPr="00920DCE">
        <w:rPr>
          <w:rFonts w:ascii="Times New Roman" w:hAnsi="Times New Roman" w:cs="Times New Roman"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7F28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920DCE" w:rsidRDefault="007F28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920DCE" w:rsidRPr="00920DCE" w:rsidRDefault="00920DCE" w:rsidP="00920DCE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499" w:rsidRDefault="00094499" w:rsidP="00920DCE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920DCE" w:rsidRPr="00B15C6F" w:rsidRDefault="00920DCE" w:rsidP="00920DC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920DCE" w:rsidRPr="00236F1C" w:rsidRDefault="007F2821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82A01">
        <w:rPr>
          <w:rFonts w:ascii="Times New Roman" w:hAnsi="Times New Roman" w:cs="Times New Roman"/>
          <w:sz w:val="24"/>
          <w:szCs w:val="24"/>
        </w:rPr>
        <w:t xml:space="preserve">% 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20DCE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7F2821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2CAB">
        <w:rPr>
          <w:rFonts w:ascii="Times New Roman" w:hAnsi="Times New Roman" w:cs="Times New Roman"/>
          <w:sz w:val="24"/>
          <w:szCs w:val="24"/>
        </w:rPr>
        <w:t>7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of the students have rated 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 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920DCE" w:rsidRPr="00920DCE" w:rsidRDefault="007F2821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 of the students have rated 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920DCE" w:rsidRPr="00236F1C" w:rsidRDefault="007F2821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5612D">
        <w:rPr>
          <w:rFonts w:ascii="Times New Roman" w:hAnsi="Times New Roman" w:cs="Times New Roman"/>
          <w:sz w:val="24"/>
          <w:szCs w:val="24"/>
        </w:rPr>
        <w:t xml:space="preserve">% 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20DCE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average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323B6" w:rsidRDefault="008323B6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323B6" w:rsidRDefault="008323B6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4: Overall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="00454AB7">
        <w:rPr>
          <w:rFonts w:ascii="Times New Roman" w:hAnsi="Times New Roman" w:cs="Times New Roman"/>
          <w:b/>
          <w:sz w:val="24"/>
          <w:szCs w:val="24"/>
        </w:rPr>
        <w:t xml:space="preserve"> about </w:t>
      </w:r>
      <w:proofErr w:type="spellStart"/>
      <w:r w:rsidR="00454AB7">
        <w:rPr>
          <w:rFonts w:ascii="Times New Roman" w:hAnsi="Times New Roman" w:cs="Times New Roman"/>
          <w:b/>
          <w:sz w:val="24"/>
          <w:szCs w:val="24"/>
        </w:rPr>
        <w:t>Subject</w:t>
      </w:r>
      <w:r w:rsidRPr="00DB3B23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DB3B23">
        <w:rPr>
          <w:rFonts w:ascii="Times New Roman" w:hAnsi="Times New Roman" w:cs="Times New Roman"/>
          <w:b/>
          <w:sz w:val="24"/>
          <w:szCs w:val="24"/>
        </w:rPr>
        <w:t xml:space="preserve">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tbl>
      <w:tblPr>
        <w:tblW w:w="8759" w:type="dxa"/>
        <w:jc w:val="center"/>
        <w:tblInd w:w="98" w:type="dxa"/>
        <w:tblLook w:val="04A0" w:firstRow="1" w:lastRow="0" w:firstColumn="1" w:lastColumn="0" w:noHBand="0" w:noVBand="1"/>
      </w:tblPr>
      <w:tblGrid>
        <w:gridCol w:w="866"/>
        <w:gridCol w:w="838"/>
        <w:gridCol w:w="916"/>
        <w:gridCol w:w="765"/>
        <w:gridCol w:w="815"/>
        <w:gridCol w:w="1064"/>
        <w:gridCol w:w="682"/>
        <w:gridCol w:w="887"/>
        <w:gridCol w:w="551"/>
        <w:gridCol w:w="716"/>
        <w:gridCol w:w="659"/>
      </w:tblGrid>
      <w:tr w:rsidR="00614875" w:rsidRPr="001A2DA3" w:rsidTr="000D56E0">
        <w:trPr>
          <w:trHeight w:val="330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14875" w:rsidRPr="000C6516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14875" w:rsidRPr="009678D9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14875" w:rsidRPr="009678D9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14875" w:rsidRPr="009678D9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14875" w:rsidRPr="000C6516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</w:tcPr>
          <w:p w:rsidR="00614875" w:rsidRPr="000C6516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614875" w:rsidRPr="001A2DA3" w:rsidTr="000D56E0">
        <w:trPr>
          <w:trHeight w:val="46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2B4AD7" w:rsidRPr="001A2DA3" w:rsidTr="000D56E0">
        <w:trPr>
          <w:trHeight w:val="224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AD7" w:rsidRPr="001A2DA3" w:rsidRDefault="002B4AD7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2B4AD7" w:rsidRPr="001A2DA3" w:rsidTr="000D56E0">
        <w:trPr>
          <w:trHeight w:val="31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AD7" w:rsidRPr="001A2DA3" w:rsidRDefault="002B4AD7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2B4AD7" w:rsidRPr="001A2DA3" w:rsidTr="000D56E0">
        <w:trPr>
          <w:trHeight w:val="31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AD7" w:rsidRPr="001A2DA3" w:rsidRDefault="002B4AD7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2B4AD7" w:rsidRPr="001A2DA3" w:rsidTr="000D56E0">
        <w:trPr>
          <w:trHeight w:val="31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AD7" w:rsidRPr="001A2DA3" w:rsidRDefault="002B4AD7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2B4AD7" w:rsidRPr="001A2DA3" w:rsidTr="000D56E0">
        <w:trPr>
          <w:trHeight w:val="31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AD7" w:rsidRPr="001A2DA3" w:rsidRDefault="002B4AD7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D7" w:rsidRDefault="002B4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BF7474" w:rsidRDefault="00BF7474" w:rsidP="00BF7474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B4AD7" w:rsidRPr="002B4AD7" w:rsidRDefault="002B4AD7" w:rsidP="002B4A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BF7474" w:rsidRDefault="002B4AD7" w:rsidP="0062384C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5131558" cy="3452884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7474" w:rsidRPr="0062384C" w:rsidRDefault="00BF7474" w:rsidP="0062384C">
      <w:pPr>
        <w:tabs>
          <w:tab w:val="left" w:pos="7410"/>
        </w:tabs>
        <w:rPr>
          <w:rFonts w:ascii="Calibri" w:eastAsia="Times New Roman" w:hAnsi="Calibri" w:cs="Times New Roma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BF7474" w:rsidRPr="009231EF" w:rsidRDefault="002B4AD7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BF747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Sub1 as outstanding</w:t>
      </w:r>
    </w:p>
    <w:p w:rsidR="00BF7474" w:rsidRPr="009231EF" w:rsidRDefault="000D56E0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Sub1 as Excellent</w:t>
      </w:r>
    </w:p>
    <w:p w:rsidR="00BF7474" w:rsidRPr="009231EF" w:rsidRDefault="002B4AD7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56E0">
        <w:rPr>
          <w:rFonts w:ascii="Times New Roman" w:hAnsi="Times New Roman" w:cs="Times New Roman"/>
          <w:sz w:val="24"/>
          <w:szCs w:val="24"/>
        </w:rPr>
        <w:t>5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Sub1 as good</w:t>
      </w:r>
    </w:p>
    <w:p w:rsidR="00BF7474" w:rsidRDefault="002B4AD7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BF7474">
        <w:rPr>
          <w:rFonts w:ascii="Times New Roman" w:hAnsi="Times New Roman" w:cs="Times New Roman"/>
          <w:sz w:val="24"/>
          <w:szCs w:val="24"/>
        </w:rPr>
        <w:t xml:space="preserve">Sub1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F7474" w:rsidRPr="000155FE" w:rsidRDefault="00BF7474" w:rsidP="00BF7474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5FE">
        <w:rPr>
          <w:rFonts w:ascii="Times New Roman" w:hAnsi="Times New Roman" w:cs="Times New Roman"/>
          <w:b/>
          <w:bCs/>
          <w:sz w:val="24"/>
          <w:szCs w:val="24"/>
        </w:rPr>
        <w:t>Sub2</w:t>
      </w:r>
    </w:p>
    <w:p w:rsidR="00BF7474" w:rsidRPr="009231EF" w:rsidRDefault="002B4AD7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467100">
        <w:rPr>
          <w:rFonts w:ascii="Times New Roman" w:hAnsi="Times New Roman" w:cs="Times New Roman"/>
          <w:sz w:val="24"/>
          <w:szCs w:val="24"/>
        </w:rPr>
        <w:t xml:space="preserve">%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400721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2 as outstanding</w:t>
      </w:r>
    </w:p>
    <w:p w:rsidR="00BF7474" w:rsidRPr="009231EF" w:rsidRDefault="002B4AD7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400721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2 as Excellent</w:t>
      </w:r>
    </w:p>
    <w:p w:rsidR="00BF7474" w:rsidRPr="009231EF" w:rsidRDefault="002B4AD7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400721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2 as good</w:t>
      </w:r>
    </w:p>
    <w:p w:rsidR="00BF7474" w:rsidRPr="00236F1C" w:rsidRDefault="002B4AD7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400721">
        <w:rPr>
          <w:rFonts w:ascii="Times New Roman" w:hAnsi="Times New Roman" w:cs="Times New Roman"/>
          <w:sz w:val="24"/>
          <w:szCs w:val="24"/>
        </w:rPr>
        <w:t>sub</w:t>
      </w:r>
      <w:r w:rsidR="00BF7474">
        <w:rPr>
          <w:rFonts w:ascii="Times New Roman" w:hAnsi="Times New Roman" w:cs="Times New Roman"/>
          <w:sz w:val="24"/>
          <w:szCs w:val="24"/>
        </w:rPr>
        <w:t xml:space="preserve">2 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Pr="00236F1C" w:rsidRDefault="00BF7474" w:rsidP="00BF747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F7474" w:rsidRPr="00B15C6F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BF7474" w:rsidRPr="009231EF" w:rsidRDefault="002B4AD7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BF7474" w:rsidRPr="00610F4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F7474" w:rsidRPr="00610F4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400721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3 as outstanding </w:t>
      </w:r>
    </w:p>
    <w:p w:rsidR="00BF7474" w:rsidRPr="009231EF" w:rsidRDefault="000D56E0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400721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3 as Excellent</w:t>
      </w:r>
    </w:p>
    <w:p w:rsidR="00BF7474" w:rsidRPr="009231EF" w:rsidRDefault="002B4AD7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400721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3 as good</w:t>
      </w:r>
    </w:p>
    <w:p w:rsidR="00BF7474" w:rsidRPr="003E53F5" w:rsidRDefault="002B4AD7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400721">
        <w:rPr>
          <w:rFonts w:ascii="Times New Roman" w:hAnsi="Times New Roman" w:cs="Times New Roman"/>
          <w:sz w:val="24"/>
          <w:szCs w:val="24"/>
        </w:rPr>
        <w:t>sub</w:t>
      </w:r>
      <w:r w:rsidR="00BF7474">
        <w:rPr>
          <w:rFonts w:ascii="Times New Roman" w:hAnsi="Times New Roman" w:cs="Times New Roman"/>
          <w:sz w:val="24"/>
          <w:szCs w:val="24"/>
        </w:rPr>
        <w:t xml:space="preserve">3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Pr="00236F1C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474" w:rsidRPr="00B15C6F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 xml:space="preserve">Sub4 </w:t>
      </w:r>
    </w:p>
    <w:p w:rsidR="00BF7474" w:rsidRPr="009231EF" w:rsidRDefault="002B4AD7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67100">
        <w:rPr>
          <w:rFonts w:ascii="Times New Roman" w:hAnsi="Times New Roman" w:cs="Times New Roman"/>
          <w:sz w:val="24"/>
          <w:szCs w:val="24"/>
        </w:rPr>
        <w:t>%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400721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4 as outstanding</w:t>
      </w:r>
    </w:p>
    <w:p w:rsidR="00BF7474" w:rsidRPr="009231EF" w:rsidRDefault="002B4AD7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400721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4 as Excellent</w:t>
      </w:r>
    </w:p>
    <w:p w:rsidR="00BF7474" w:rsidRPr="009231EF" w:rsidRDefault="002B4AD7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400721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4 as good</w:t>
      </w:r>
    </w:p>
    <w:p w:rsidR="00BF7474" w:rsidRPr="00953341" w:rsidRDefault="002B4AD7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400721">
        <w:rPr>
          <w:rFonts w:ascii="Times New Roman" w:hAnsi="Times New Roman" w:cs="Times New Roman"/>
          <w:sz w:val="24"/>
          <w:szCs w:val="24"/>
        </w:rPr>
        <w:t>sub</w:t>
      </w:r>
      <w:r w:rsidR="00BF7474">
        <w:rPr>
          <w:rFonts w:ascii="Times New Roman" w:hAnsi="Times New Roman" w:cs="Times New Roman"/>
          <w:sz w:val="24"/>
          <w:szCs w:val="24"/>
        </w:rPr>
        <w:t xml:space="preserve">4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E034E5" w:rsidRDefault="00E034E5" w:rsidP="0033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C6C" w:rsidRPr="00B15C6F" w:rsidRDefault="00427C6C" w:rsidP="00427C6C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427C6C" w:rsidRPr="009231EF" w:rsidRDefault="002B4AD7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65EAE">
        <w:rPr>
          <w:rFonts w:ascii="Times New Roman" w:hAnsi="Times New Roman" w:cs="Times New Roman"/>
          <w:sz w:val="24"/>
          <w:szCs w:val="24"/>
        </w:rPr>
        <w:t>%</w:t>
      </w:r>
      <w:r w:rsidR="00427C6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400721">
        <w:rPr>
          <w:rFonts w:ascii="Times New Roman" w:hAnsi="Times New Roman" w:cs="Times New Roman"/>
          <w:sz w:val="24"/>
          <w:szCs w:val="24"/>
        </w:rPr>
        <w:t>sub</w:t>
      </w:r>
      <w:r w:rsidR="00427C6C">
        <w:rPr>
          <w:rFonts w:ascii="Times New Roman" w:hAnsi="Times New Roman" w:cs="Times New Roman"/>
          <w:sz w:val="24"/>
          <w:szCs w:val="24"/>
        </w:rPr>
        <w:t>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427C6C" w:rsidRPr="009231EF" w:rsidRDefault="002B4AD7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% of the students have rated Overall about </w:t>
      </w:r>
      <w:r w:rsidR="00400721">
        <w:rPr>
          <w:rFonts w:ascii="Times New Roman" w:hAnsi="Times New Roman" w:cs="Times New Roman"/>
          <w:sz w:val="24"/>
          <w:szCs w:val="24"/>
        </w:rPr>
        <w:t>sub</w:t>
      </w:r>
      <w:r w:rsidR="00427C6C">
        <w:rPr>
          <w:rFonts w:ascii="Times New Roman" w:hAnsi="Times New Roman" w:cs="Times New Roman"/>
          <w:sz w:val="24"/>
          <w:szCs w:val="24"/>
        </w:rPr>
        <w:t>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427C6C" w:rsidRPr="009231EF" w:rsidRDefault="002B4AD7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% of the students have rated Overall about </w:t>
      </w:r>
      <w:r w:rsidR="00400721">
        <w:rPr>
          <w:rFonts w:ascii="Times New Roman" w:hAnsi="Times New Roman" w:cs="Times New Roman"/>
          <w:sz w:val="24"/>
          <w:szCs w:val="24"/>
        </w:rPr>
        <w:t>sub</w:t>
      </w:r>
      <w:r w:rsidR="00427C6C">
        <w:rPr>
          <w:rFonts w:ascii="Times New Roman" w:hAnsi="Times New Roman" w:cs="Times New Roman"/>
          <w:sz w:val="24"/>
          <w:szCs w:val="24"/>
        </w:rPr>
        <w:t>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427C6C" w:rsidRPr="00953341" w:rsidRDefault="002B4AD7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27C6C" w:rsidRPr="009231EF">
        <w:rPr>
          <w:rFonts w:ascii="Times New Roman" w:hAnsi="Times New Roman" w:cs="Times New Roman"/>
          <w:sz w:val="24"/>
          <w:szCs w:val="24"/>
        </w:rPr>
        <w:t>%  of the students have rated Overall about</w:t>
      </w:r>
      <w:r w:rsidR="00400721">
        <w:rPr>
          <w:rFonts w:ascii="Times New Roman" w:hAnsi="Times New Roman" w:cs="Times New Roman"/>
          <w:sz w:val="24"/>
          <w:szCs w:val="24"/>
        </w:rPr>
        <w:t>sub</w:t>
      </w:r>
      <w:r w:rsidR="00427C6C">
        <w:rPr>
          <w:rFonts w:ascii="Times New Roman" w:hAnsi="Times New Roman" w:cs="Times New Roman"/>
          <w:sz w:val="24"/>
          <w:szCs w:val="24"/>
        </w:rPr>
        <w:t xml:space="preserve">5 </w:t>
      </w:r>
      <w:r w:rsidR="00427C6C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27C6C">
        <w:rPr>
          <w:rFonts w:ascii="Times New Roman" w:hAnsi="Times New Roman" w:cs="Times New Roman"/>
          <w:sz w:val="24"/>
          <w:szCs w:val="24"/>
        </w:rPr>
        <w:t>average</w:t>
      </w:r>
    </w:p>
    <w:p w:rsidR="00427C6C" w:rsidRDefault="00427C6C" w:rsidP="00427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7B" w:rsidRPr="00855EC2" w:rsidRDefault="007F1B7B" w:rsidP="008323B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5: Infrastructure</w:t>
      </w: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7F1B7B" w:rsidRDefault="007F1B7B" w:rsidP="007F1B7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p w:rsidR="007F1B7B" w:rsidRPr="002F6BDD" w:rsidRDefault="007F1B7B" w:rsidP="007F1B7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tbl>
      <w:tblPr>
        <w:tblW w:w="3021" w:type="dxa"/>
        <w:jc w:val="center"/>
        <w:tblInd w:w="2493" w:type="dxa"/>
        <w:tblLook w:val="04A0" w:firstRow="1" w:lastRow="0" w:firstColumn="1" w:lastColumn="0" w:noHBand="0" w:noVBand="1"/>
      </w:tblPr>
      <w:tblGrid>
        <w:gridCol w:w="960"/>
        <w:gridCol w:w="1153"/>
        <w:gridCol w:w="908"/>
      </w:tblGrid>
      <w:tr w:rsidR="007F1B7B" w:rsidTr="00B81896">
        <w:trPr>
          <w:trHeight w:val="33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2A485D" w:rsidTr="00B8189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D" w:rsidRDefault="002A485D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5D" w:rsidRDefault="002A48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D" w:rsidRDefault="002A48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2A485D" w:rsidTr="00B8189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D" w:rsidRDefault="002A485D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5D" w:rsidRDefault="002A48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D" w:rsidRDefault="002A48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2A485D" w:rsidTr="00B8189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D" w:rsidRDefault="002A485D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5D" w:rsidRDefault="002A48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D" w:rsidRDefault="002A48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2A485D" w:rsidTr="00B8189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D" w:rsidRDefault="002A485D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5D" w:rsidRDefault="002A48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D" w:rsidRDefault="002A48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2A485D" w:rsidTr="00B8189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D" w:rsidRDefault="002A485D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5D" w:rsidRDefault="002A48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D" w:rsidRDefault="002A48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7F1B7B" w:rsidRDefault="007F1B7B" w:rsidP="007F1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B7B" w:rsidRDefault="007F1B7B" w:rsidP="00521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B7B" w:rsidRDefault="007F1B7B" w:rsidP="00B818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B7B" w:rsidRDefault="002A485D" w:rsidP="007F1B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1B7B" w:rsidRPr="006751C3" w:rsidRDefault="00906E0F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1B7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outstanding</w:t>
      </w:r>
    </w:p>
    <w:p w:rsidR="007F1B7B" w:rsidRPr="00236F1C" w:rsidRDefault="002A485D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F1B7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7F1B7B" w:rsidRPr="00236F1C" w:rsidRDefault="002A485D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F1B7B">
        <w:rPr>
          <w:rFonts w:ascii="Times New Roman" w:hAnsi="Times New Roman" w:cs="Times New Roman"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good</w:t>
      </w:r>
    </w:p>
    <w:p w:rsidR="007F1B7B" w:rsidRDefault="002A485D" w:rsidP="00624EFF">
      <w:pPr>
        <w:pStyle w:val="ListParagraph"/>
        <w:numPr>
          <w:ilvl w:val="0"/>
          <w:numId w:val="1"/>
        </w:numPr>
        <w:tabs>
          <w:tab w:val="left" w:pos="94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624EFF">
        <w:rPr>
          <w:rFonts w:ascii="Times New Roman" w:hAnsi="Times New Roman" w:cs="Times New Roman"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average</w:t>
      </w:r>
    </w:p>
    <w:p w:rsidR="007F1B7B" w:rsidRDefault="007F1B7B" w:rsidP="007F1B7B">
      <w:pPr>
        <w:rPr>
          <w:rFonts w:ascii="Times New Roman" w:hAnsi="Times New Roman" w:cs="Times New Roman"/>
          <w:sz w:val="24"/>
          <w:szCs w:val="24"/>
        </w:rPr>
      </w:pPr>
    </w:p>
    <w:p w:rsidR="007F1B7B" w:rsidRDefault="007F1B7B" w:rsidP="007F1B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1B7B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79" w:rsidRDefault="009C7779" w:rsidP="006D7142">
      <w:pPr>
        <w:spacing w:after="0" w:line="240" w:lineRule="auto"/>
      </w:pPr>
      <w:r>
        <w:separator/>
      </w:r>
    </w:p>
  </w:endnote>
  <w:endnote w:type="continuationSeparator" w:id="0">
    <w:p w:rsidR="009C7779" w:rsidRDefault="009C7779" w:rsidP="006D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79" w:rsidRDefault="009C7779" w:rsidP="006D7142">
      <w:pPr>
        <w:spacing w:after="0" w:line="240" w:lineRule="auto"/>
      </w:pPr>
      <w:r>
        <w:separator/>
      </w:r>
    </w:p>
  </w:footnote>
  <w:footnote w:type="continuationSeparator" w:id="0">
    <w:p w:rsidR="009C7779" w:rsidRDefault="009C7779" w:rsidP="006D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95A"/>
    <w:rsid w:val="00003D43"/>
    <w:rsid w:val="000069CA"/>
    <w:rsid w:val="0002485D"/>
    <w:rsid w:val="000278B0"/>
    <w:rsid w:val="00042269"/>
    <w:rsid w:val="00076457"/>
    <w:rsid w:val="00076D43"/>
    <w:rsid w:val="0008394F"/>
    <w:rsid w:val="000929BF"/>
    <w:rsid w:val="00094499"/>
    <w:rsid w:val="000A3EB2"/>
    <w:rsid w:val="000B33CE"/>
    <w:rsid w:val="000B42B1"/>
    <w:rsid w:val="000C4933"/>
    <w:rsid w:val="000C6516"/>
    <w:rsid w:val="000C7BC2"/>
    <w:rsid w:val="000D56E0"/>
    <w:rsid w:val="000D65AC"/>
    <w:rsid w:val="000E2531"/>
    <w:rsid w:val="000E2D42"/>
    <w:rsid w:val="001158DA"/>
    <w:rsid w:val="001370CE"/>
    <w:rsid w:val="00176203"/>
    <w:rsid w:val="001768C5"/>
    <w:rsid w:val="00182A47"/>
    <w:rsid w:val="00190E69"/>
    <w:rsid w:val="001A2DA3"/>
    <w:rsid w:val="001B2CAB"/>
    <w:rsid w:val="001B5435"/>
    <w:rsid w:val="001C2BFD"/>
    <w:rsid w:val="001D7FAB"/>
    <w:rsid w:val="001F1E21"/>
    <w:rsid w:val="001F62E3"/>
    <w:rsid w:val="00203AC7"/>
    <w:rsid w:val="002223EA"/>
    <w:rsid w:val="00232950"/>
    <w:rsid w:val="00247519"/>
    <w:rsid w:val="00252E2E"/>
    <w:rsid w:val="00254934"/>
    <w:rsid w:val="00267601"/>
    <w:rsid w:val="002743C6"/>
    <w:rsid w:val="00282929"/>
    <w:rsid w:val="002A485D"/>
    <w:rsid w:val="002B4AD7"/>
    <w:rsid w:val="002C3F91"/>
    <w:rsid w:val="002C5119"/>
    <w:rsid w:val="002E4115"/>
    <w:rsid w:val="002F6BDD"/>
    <w:rsid w:val="00316DB4"/>
    <w:rsid w:val="0031705C"/>
    <w:rsid w:val="00320B72"/>
    <w:rsid w:val="0033095A"/>
    <w:rsid w:val="00336164"/>
    <w:rsid w:val="00375355"/>
    <w:rsid w:val="00396CF2"/>
    <w:rsid w:val="003B3C67"/>
    <w:rsid w:val="003F4C3F"/>
    <w:rsid w:val="003F52EF"/>
    <w:rsid w:val="00400721"/>
    <w:rsid w:val="00427C6C"/>
    <w:rsid w:val="00436755"/>
    <w:rsid w:val="00454AB7"/>
    <w:rsid w:val="0045612D"/>
    <w:rsid w:val="00467100"/>
    <w:rsid w:val="00481F50"/>
    <w:rsid w:val="00482DCF"/>
    <w:rsid w:val="00496D52"/>
    <w:rsid w:val="0049795B"/>
    <w:rsid w:val="004A1D88"/>
    <w:rsid w:val="004A28D7"/>
    <w:rsid w:val="004B71A3"/>
    <w:rsid w:val="004C29A0"/>
    <w:rsid w:val="004C3AB2"/>
    <w:rsid w:val="004D5DF1"/>
    <w:rsid w:val="004E3B4C"/>
    <w:rsid w:val="004F6327"/>
    <w:rsid w:val="00521BB3"/>
    <w:rsid w:val="00523633"/>
    <w:rsid w:val="005333D4"/>
    <w:rsid w:val="0054645D"/>
    <w:rsid w:val="0055460E"/>
    <w:rsid w:val="005A0802"/>
    <w:rsid w:val="005B1B53"/>
    <w:rsid w:val="005C5523"/>
    <w:rsid w:val="005D5897"/>
    <w:rsid w:val="005D58D9"/>
    <w:rsid w:val="005E5618"/>
    <w:rsid w:val="00614875"/>
    <w:rsid w:val="00622EA5"/>
    <w:rsid w:val="0062384C"/>
    <w:rsid w:val="00624EFF"/>
    <w:rsid w:val="006271CA"/>
    <w:rsid w:val="006512AB"/>
    <w:rsid w:val="00653CFE"/>
    <w:rsid w:val="0068082D"/>
    <w:rsid w:val="006842A9"/>
    <w:rsid w:val="006A4CF9"/>
    <w:rsid w:val="006D7142"/>
    <w:rsid w:val="00715041"/>
    <w:rsid w:val="007367E1"/>
    <w:rsid w:val="007463D2"/>
    <w:rsid w:val="007A0256"/>
    <w:rsid w:val="007A1F04"/>
    <w:rsid w:val="007B6601"/>
    <w:rsid w:val="007E1C8A"/>
    <w:rsid w:val="007F1B7B"/>
    <w:rsid w:val="007F2821"/>
    <w:rsid w:val="008323B6"/>
    <w:rsid w:val="00855EC2"/>
    <w:rsid w:val="008601EE"/>
    <w:rsid w:val="00864A4F"/>
    <w:rsid w:val="00873F82"/>
    <w:rsid w:val="008A3CFF"/>
    <w:rsid w:val="008F193C"/>
    <w:rsid w:val="008F51BA"/>
    <w:rsid w:val="00906E0F"/>
    <w:rsid w:val="009155D8"/>
    <w:rsid w:val="00920DCE"/>
    <w:rsid w:val="009231EF"/>
    <w:rsid w:val="00927691"/>
    <w:rsid w:val="00937B1F"/>
    <w:rsid w:val="00975678"/>
    <w:rsid w:val="0097593C"/>
    <w:rsid w:val="009865CB"/>
    <w:rsid w:val="0098667D"/>
    <w:rsid w:val="009A06F0"/>
    <w:rsid w:val="009C016E"/>
    <w:rsid w:val="009C7779"/>
    <w:rsid w:val="009E00E0"/>
    <w:rsid w:val="009F10F5"/>
    <w:rsid w:val="00A05588"/>
    <w:rsid w:val="00A0577A"/>
    <w:rsid w:val="00A17891"/>
    <w:rsid w:val="00A33FB7"/>
    <w:rsid w:val="00A414A9"/>
    <w:rsid w:val="00A64A6D"/>
    <w:rsid w:val="00A65E00"/>
    <w:rsid w:val="00A73AD3"/>
    <w:rsid w:val="00A820D4"/>
    <w:rsid w:val="00A82E32"/>
    <w:rsid w:val="00A837C6"/>
    <w:rsid w:val="00A91369"/>
    <w:rsid w:val="00A96EEA"/>
    <w:rsid w:val="00AA01AE"/>
    <w:rsid w:val="00AA3250"/>
    <w:rsid w:val="00AC4FB7"/>
    <w:rsid w:val="00AD6137"/>
    <w:rsid w:val="00AE09EB"/>
    <w:rsid w:val="00AE4ECB"/>
    <w:rsid w:val="00B13146"/>
    <w:rsid w:val="00B20247"/>
    <w:rsid w:val="00B43394"/>
    <w:rsid w:val="00B43901"/>
    <w:rsid w:val="00B62622"/>
    <w:rsid w:val="00B639B4"/>
    <w:rsid w:val="00B6574C"/>
    <w:rsid w:val="00B81896"/>
    <w:rsid w:val="00B92FA1"/>
    <w:rsid w:val="00BA70BF"/>
    <w:rsid w:val="00BB6300"/>
    <w:rsid w:val="00BD1E75"/>
    <w:rsid w:val="00BE42A1"/>
    <w:rsid w:val="00BF0DEB"/>
    <w:rsid w:val="00BF7474"/>
    <w:rsid w:val="00C027CE"/>
    <w:rsid w:val="00C032A1"/>
    <w:rsid w:val="00C1048E"/>
    <w:rsid w:val="00C12CBA"/>
    <w:rsid w:val="00C21EE9"/>
    <w:rsid w:val="00C41F8E"/>
    <w:rsid w:val="00C477BE"/>
    <w:rsid w:val="00C65EAE"/>
    <w:rsid w:val="00C67BAE"/>
    <w:rsid w:val="00C761AC"/>
    <w:rsid w:val="00C77CC3"/>
    <w:rsid w:val="00C86651"/>
    <w:rsid w:val="00CA2440"/>
    <w:rsid w:val="00CA4F8D"/>
    <w:rsid w:val="00CA5EE7"/>
    <w:rsid w:val="00CF4EA1"/>
    <w:rsid w:val="00D03F7C"/>
    <w:rsid w:val="00D10101"/>
    <w:rsid w:val="00D15E30"/>
    <w:rsid w:val="00D24996"/>
    <w:rsid w:val="00D35AD3"/>
    <w:rsid w:val="00D53465"/>
    <w:rsid w:val="00D61FD2"/>
    <w:rsid w:val="00D702A7"/>
    <w:rsid w:val="00D82A01"/>
    <w:rsid w:val="00D84FA7"/>
    <w:rsid w:val="00DA184B"/>
    <w:rsid w:val="00DB2753"/>
    <w:rsid w:val="00DB3548"/>
    <w:rsid w:val="00DC79D1"/>
    <w:rsid w:val="00DE6029"/>
    <w:rsid w:val="00E034E5"/>
    <w:rsid w:val="00E261A9"/>
    <w:rsid w:val="00E27CA5"/>
    <w:rsid w:val="00E34B79"/>
    <w:rsid w:val="00E35267"/>
    <w:rsid w:val="00E359D5"/>
    <w:rsid w:val="00E365EF"/>
    <w:rsid w:val="00E80CBF"/>
    <w:rsid w:val="00E90E28"/>
    <w:rsid w:val="00EA26D3"/>
    <w:rsid w:val="00ED115A"/>
    <w:rsid w:val="00ED3E75"/>
    <w:rsid w:val="00EF1022"/>
    <w:rsid w:val="00EF4CE6"/>
    <w:rsid w:val="00F00C5E"/>
    <w:rsid w:val="00F259D6"/>
    <w:rsid w:val="00F51018"/>
    <w:rsid w:val="00F6762D"/>
    <w:rsid w:val="00F83296"/>
    <w:rsid w:val="00FD2152"/>
    <w:rsid w:val="00FE7012"/>
    <w:rsid w:val="00FF3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5\Desktop\7888%20psyco\77777\PSYCHOLOGY_30-5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5\Desktop\7888%20psyco\77777\PSYCHOLOGY_30-5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5\Desktop\7888%20psyco\77777\PSYCHOLOGY_30-5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5\Desktop\7888%20psyco\77777\PSYCHOLOGY_30-5-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5\Desktop\7888%20psyco\77777\PSYCHOLOGY_30-5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MA_4TH_SEM!$A$263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MA_4TH_SEM!$B$262:$F$262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MA_4TH_SEM!$B$263:$F$263</c:f>
              <c:numCache>
                <c:formatCode>0</c:formatCode>
                <c:ptCount val="5"/>
                <c:pt idx="0">
                  <c:v>10.15625</c:v>
                </c:pt>
                <c:pt idx="1">
                  <c:v>7.8124999999999964</c:v>
                </c:pt>
                <c:pt idx="2">
                  <c:v>7.8124999999999964</c:v>
                </c:pt>
                <c:pt idx="3">
                  <c:v>10.15625</c:v>
                </c:pt>
                <c:pt idx="4">
                  <c:v>8.59375</c:v>
                </c:pt>
              </c:numCache>
            </c:numRef>
          </c:val>
        </c:ser>
        <c:ser>
          <c:idx val="1"/>
          <c:order val="1"/>
          <c:tx>
            <c:strRef>
              <c:f>MA_4TH_SEM!$A$264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MA_4TH_SEM!$B$262:$F$262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MA_4TH_SEM!$B$264:$F$264</c:f>
              <c:numCache>
                <c:formatCode>0</c:formatCode>
                <c:ptCount val="5"/>
                <c:pt idx="0">
                  <c:v>35.9375</c:v>
                </c:pt>
                <c:pt idx="1">
                  <c:v>39.062500000000028</c:v>
                </c:pt>
                <c:pt idx="2">
                  <c:v>37.5</c:v>
                </c:pt>
                <c:pt idx="3">
                  <c:v>34.375</c:v>
                </c:pt>
                <c:pt idx="4">
                  <c:v>34.375</c:v>
                </c:pt>
              </c:numCache>
            </c:numRef>
          </c:val>
        </c:ser>
        <c:ser>
          <c:idx val="2"/>
          <c:order val="2"/>
          <c:tx>
            <c:strRef>
              <c:f>MA_4TH_SEM!$A$265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MA_4TH_SEM!$B$262:$F$262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MA_4TH_SEM!$B$265:$F$265</c:f>
              <c:numCache>
                <c:formatCode>0</c:formatCode>
                <c:ptCount val="5"/>
                <c:pt idx="0">
                  <c:v>25</c:v>
                </c:pt>
                <c:pt idx="1">
                  <c:v>21.875</c:v>
                </c:pt>
                <c:pt idx="2">
                  <c:v>23.4375</c:v>
                </c:pt>
                <c:pt idx="3">
                  <c:v>23.4375</c:v>
                </c:pt>
                <c:pt idx="4">
                  <c:v>25</c:v>
                </c:pt>
              </c:numCache>
            </c:numRef>
          </c:val>
        </c:ser>
        <c:ser>
          <c:idx val="3"/>
          <c:order val="3"/>
          <c:tx>
            <c:strRef>
              <c:f>MA_4TH_SEM!$A$266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MA_4TH_SEM!$B$262:$F$262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MA_4TH_SEM!$B$266:$F$266</c:f>
              <c:numCache>
                <c:formatCode>0</c:formatCode>
                <c:ptCount val="5"/>
                <c:pt idx="0">
                  <c:v>28.90625</c:v>
                </c:pt>
                <c:pt idx="1">
                  <c:v>31.25</c:v>
                </c:pt>
                <c:pt idx="2">
                  <c:v>31.25</c:v>
                </c:pt>
                <c:pt idx="3">
                  <c:v>32.03125</c:v>
                </c:pt>
                <c:pt idx="4">
                  <c:v>32.03125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48976640"/>
        <c:axId val="48978176"/>
        <c:axId val="0"/>
      </c:bar3DChart>
      <c:catAx>
        <c:axId val="48976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48978176"/>
        <c:crosses val="autoZero"/>
        <c:auto val="1"/>
        <c:lblAlgn val="ctr"/>
        <c:lblOffset val="100"/>
        <c:noMultiLvlLbl val="0"/>
      </c:catAx>
      <c:valAx>
        <c:axId val="48978176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489766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MA_4TH_SEM!$H$265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MA_4TH_SEM!$I$264:$M$264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MA_4TH_SEM!$I$265:$M$265</c:f>
              <c:numCache>
                <c:formatCode>0</c:formatCode>
                <c:ptCount val="5"/>
                <c:pt idx="0">
                  <c:v>10.9375</c:v>
                </c:pt>
                <c:pt idx="1">
                  <c:v>8.3333333333333321</c:v>
                </c:pt>
                <c:pt idx="2">
                  <c:v>7.2916666666666705</c:v>
                </c:pt>
                <c:pt idx="3">
                  <c:v>7.2916666666666705</c:v>
                </c:pt>
                <c:pt idx="4">
                  <c:v>7.8124999999999964</c:v>
                </c:pt>
              </c:numCache>
            </c:numRef>
          </c:val>
        </c:ser>
        <c:ser>
          <c:idx val="1"/>
          <c:order val="1"/>
          <c:tx>
            <c:strRef>
              <c:f>MA_4TH_SEM!$H$266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MA_4TH_SEM!$I$264:$M$264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MA_4TH_SEM!$I$266:$M$266</c:f>
              <c:numCache>
                <c:formatCode>0</c:formatCode>
                <c:ptCount val="5"/>
                <c:pt idx="0">
                  <c:v>32.8125</c:v>
                </c:pt>
                <c:pt idx="1">
                  <c:v>34.895833333333329</c:v>
                </c:pt>
                <c:pt idx="2">
                  <c:v>36.979166666666615</c:v>
                </c:pt>
                <c:pt idx="3">
                  <c:v>35.9375</c:v>
                </c:pt>
                <c:pt idx="4">
                  <c:v>35.416666666666586</c:v>
                </c:pt>
              </c:numCache>
            </c:numRef>
          </c:val>
        </c:ser>
        <c:ser>
          <c:idx val="2"/>
          <c:order val="2"/>
          <c:tx>
            <c:strRef>
              <c:f>MA_4TH_SEM!$H$267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MA_4TH_SEM!$I$264:$M$264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MA_4TH_SEM!$I$267:$M$267</c:f>
              <c:numCache>
                <c:formatCode>0</c:formatCode>
                <c:ptCount val="5"/>
                <c:pt idx="0">
                  <c:v>22.916666666666664</c:v>
                </c:pt>
                <c:pt idx="1">
                  <c:v>22.916666666666664</c:v>
                </c:pt>
                <c:pt idx="2">
                  <c:v>21.875</c:v>
                </c:pt>
                <c:pt idx="3">
                  <c:v>19.270833333333311</c:v>
                </c:pt>
                <c:pt idx="4">
                  <c:v>19.270833333333311</c:v>
                </c:pt>
              </c:numCache>
            </c:numRef>
          </c:val>
        </c:ser>
        <c:ser>
          <c:idx val="3"/>
          <c:order val="3"/>
          <c:tx>
            <c:strRef>
              <c:f>MA_4TH_SEM!$H$268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MA_4TH_SEM!$I$264:$M$264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MA_4TH_SEM!$I$268:$M$268</c:f>
              <c:numCache>
                <c:formatCode>0</c:formatCode>
                <c:ptCount val="5"/>
                <c:pt idx="0">
                  <c:v>33.333333333333329</c:v>
                </c:pt>
                <c:pt idx="1">
                  <c:v>33.854166666666586</c:v>
                </c:pt>
                <c:pt idx="2">
                  <c:v>33.854166666666586</c:v>
                </c:pt>
                <c:pt idx="3">
                  <c:v>37.5</c:v>
                </c:pt>
                <c:pt idx="4">
                  <c:v>37.5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48999040"/>
        <c:axId val="49017216"/>
        <c:axId val="0"/>
      </c:bar3DChart>
      <c:catAx>
        <c:axId val="48999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49017216"/>
        <c:crosses val="autoZero"/>
        <c:auto val="1"/>
        <c:lblAlgn val="ctr"/>
        <c:lblOffset val="100"/>
        <c:noMultiLvlLbl val="0"/>
      </c:catAx>
      <c:valAx>
        <c:axId val="49017216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489990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54396325459318"/>
          <c:y val="2.8252405949256338E-2"/>
          <c:w val="0.89745603674540686"/>
          <c:h val="0.72112459900845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MA_4TH_SEM!$O$258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MA_4TH_SEM!$P$257:$T$257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MA_4TH_SEM!$P$258:$T$258</c:f>
              <c:numCache>
                <c:formatCode>0</c:formatCode>
                <c:ptCount val="5"/>
                <c:pt idx="0">
                  <c:v>20.3125</c:v>
                </c:pt>
                <c:pt idx="1">
                  <c:v>15.625</c:v>
                </c:pt>
                <c:pt idx="2">
                  <c:v>17.1875</c:v>
                </c:pt>
                <c:pt idx="3">
                  <c:v>15.625</c:v>
                </c:pt>
                <c:pt idx="4">
                  <c:v>17.1875</c:v>
                </c:pt>
              </c:numCache>
            </c:numRef>
          </c:val>
        </c:ser>
        <c:ser>
          <c:idx val="1"/>
          <c:order val="1"/>
          <c:tx>
            <c:strRef>
              <c:f>MA_4TH_SEM!$O$259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MA_4TH_SEM!$P$257:$T$257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MA_4TH_SEM!$P$259:$T$259</c:f>
              <c:numCache>
                <c:formatCode>0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29.6875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MA_4TH_SEM!$O$260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MA_4TH_SEM!$P$257:$T$257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MA_4TH_SEM!$P$260:$T$260</c:f>
              <c:numCache>
                <c:formatCode>0</c:formatCode>
                <c:ptCount val="5"/>
                <c:pt idx="0">
                  <c:v>26.562499999999982</c:v>
                </c:pt>
                <c:pt idx="1">
                  <c:v>31.25</c:v>
                </c:pt>
                <c:pt idx="2">
                  <c:v>25</c:v>
                </c:pt>
                <c:pt idx="3">
                  <c:v>26.562499999999982</c:v>
                </c:pt>
                <c:pt idx="4">
                  <c:v>26.562499999999982</c:v>
                </c:pt>
              </c:numCache>
            </c:numRef>
          </c:val>
        </c:ser>
        <c:ser>
          <c:idx val="3"/>
          <c:order val="3"/>
          <c:tx>
            <c:strRef>
              <c:f>MA_4TH_SEM!$O$261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MA_4TH_SEM!$P$257:$T$257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MA_4TH_SEM!$P$261:$T$261</c:f>
              <c:numCache>
                <c:formatCode>0</c:formatCode>
                <c:ptCount val="5"/>
                <c:pt idx="0">
                  <c:v>28.125</c:v>
                </c:pt>
                <c:pt idx="1">
                  <c:v>28.125</c:v>
                </c:pt>
                <c:pt idx="2">
                  <c:v>32.8125</c:v>
                </c:pt>
                <c:pt idx="3">
                  <c:v>28.125</c:v>
                </c:pt>
                <c:pt idx="4">
                  <c:v>31.25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49177344"/>
        <c:axId val="49178880"/>
        <c:axId val="0"/>
      </c:bar3DChart>
      <c:catAx>
        <c:axId val="49177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49178880"/>
        <c:crosses val="autoZero"/>
        <c:auto val="1"/>
        <c:lblAlgn val="ctr"/>
        <c:lblOffset val="100"/>
        <c:noMultiLvlLbl val="0"/>
      </c:catAx>
      <c:valAx>
        <c:axId val="49178880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49177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MA_4TH_SEM!$V$260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MA_4TH_SEM!$W$259:$AA$259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MA_4TH_SEM!$W$260:$AA$260</c:f>
              <c:numCache>
                <c:formatCode>0</c:formatCode>
                <c:ptCount val="5"/>
                <c:pt idx="0" formatCode="General">
                  <c:v>25</c:v>
                </c:pt>
                <c:pt idx="1">
                  <c:v>24.038461538461529</c:v>
                </c:pt>
                <c:pt idx="2">
                  <c:v>22.115384615384627</c:v>
                </c:pt>
                <c:pt idx="3">
                  <c:v>24.038461538461529</c:v>
                </c:pt>
                <c:pt idx="4">
                  <c:v>23.076923076923062</c:v>
                </c:pt>
              </c:numCache>
            </c:numRef>
          </c:val>
        </c:ser>
        <c:ser>
          <c:idx val="1"/>
          <c:order val="1"/>
          <c:tx>
            <c:strRef>
              <c:f>MA_4TH_SEM!$V$261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MA_4TH_SEM!$W$259:$AA$259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MA_4TH_SEM!$W$261:$AA$261</c:f>
              <c:numCache>
                <c:formatCode>0</c:formatCode>
                <c:ptCount val="5"/>
                <c:pt idx="0">
                  <c:v>34.615384615384578</c:v>
                </c:pt>
                <c:pt idx="1">
                  <c:v>34.615384615384578</c:v>
                </c:pt>
                <c:pt idx="2">
                  <c:v>37.5</c:v>
                </c:pt>
                <c:pt idx="3">
                  <c:v>37.5</c:v>
                </c:pt>
                <c:pt idx="4">
                  <c:v>37.5</c:v>
                </c:pt>
              </c:numCache>
            </c:numRef>
          </c:val>
        </c:ser>
        <c:ser>
          <c:idx val="2"/>
          <c:order val="2"/>
          <c:tx>
            <c:strRef>
              <c:f>MA_4TH_SEM!$V$262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MA_4TH_SEM!$W$259:$AA$259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MA_4TH_SEM!$W$262:$AA$262</c:f>
              <c:numCache>
                <c:formatCode>0</c:formatCode>
                <c:ptCount val="5"/>
                <c:pt idx="0">
                  <c:v>7.6923076923076925</c:v>
                </c:pt>
                <c:pt idx="1">
                  <c:v>5.7692307692307692</c:v>
                </c:pt>
                <c:pt idx="2">
                  <c:v>7.6923076923076925</c:v>
                </c:pt>
                <c:pt idx="3">
                  <c:v>5.7692307692307692</c:v>
                </c:pt>
                <c:pt idx="4">
                  <c:v>5.7692307692307692</c:v>
                </c:pt>
              </c:numCache>
            </c:numRef>
          </c:val>
        </c:ser>
        <c:ser>
          <c:idx val="3"/>
          <c:order val="3"/>
          <c:tx>
            <c:strRef>
              <c:f>MA_4TH_SEM!$V$263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MA_4TH_SEM!$W$259:$AA$259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MA_4TH_SEM!$W$263:$AA$263</c:f>
              <c:numCache>
                <c:formatCode>0</c:formatCode>
                <c:ptCount val="5"/>
                <c:pt idx="0">
                  <c:v>32.692307692307693</c:v>
                </c:pt>
                <c:pt idx="1">
                  <c:v>35.57692307692308</c:v>
                </c:pt>
                <c:pt idx="2">
                  <c:v>32.692307692307693</c:v>
                </c:pt>
                <c:pt idx="3">
                  <c:v>32.692307692307693</c:v>
                </c:pt>
                <c:pt idx="4">
                  <c:v>33.653846153846068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49207936"/>
        <c:axId val="49348992"/>
        <c:axId val="0"/>
      </c:bar3DChart>
      <c:catAx>
        <c:axId val="49207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49348992"/>
        <c:crosses val="autoZero"/>
        <c:auto val="1"/>
        <c:lblAlgn val="ctr"/>
        <c:lblOffset val="100"/>
        <c:noMultiLvlLbl val="0"/>
      </c:catAx>
      <c:valAx>
        <c:axId val="49348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92079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MA_4TH_SEM!$AD$256</c:f>
              <c:strCache>
                <c:ptCount val="1"/>
                <c:pt idx="0">
                  <c:v>About infrastructure (%)</c:v>
                </c:pt>
              </c:strCache>
            </c:strRef>
          </c:tx>
          <c:invertIfNegative val="0"/>
          <c:cat>
            <c:strRef>
              <c:f>MA_4TH_SEM!$AC$257:$AC$260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MA_4TH_SEM!$AD$257:$AD$260</c:f>
              <c:numCache>
                <c:formatCode>0</c:formatCode>
                <c:ptCount val="4"/>
                <c:pt idx="0">
                  <c:v>4.5454545454545459</c:v>
                </c:pt>
                <c:pt idx="1">
                  <c:v>27.272727272727224</c:v>
                </c:pt>
                <c:pt idx="2">
                  <c:v>15.909090909090915</c:v>
                </c:pt>
                <c:pt idx="3">
                  <c:v>52.272727272727273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49378048"/>
        <c:axId val="49379584"/>
        <c:axId val="0"/>
      </c:bar3DChart>
      <c:catAx>
        <c:axId val="49378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49379584"/>
        <c:crosses val="autoZero"/>
        <c:auto val="1"/>
        <c:lblAlgn val="ctr"/>
        <c:lblOffset val="100"/>
        <c:noMultiLvlLbl val="0"/>
      </c:catAx>
      <c:valAx>
        <c:axId val="49379584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493780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BE23-3B08-4ECB-9770-E613E079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5</cp:revision>
  <dcterms:created xsi:type="dcterms:W3CDTF">2018-06-18T08:41:00Z</dcterms:created>
  <dcterms:modified xsi:type="dcterms:W3CDTF">2018-10-16T12:46:00Z</dcterms:modified>
</cp:coreProperties>
</file>