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AC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0B177B">
        <w:rPr>
          <w:rFonts w:ascii="Times New Roman" w:hAnsi="Times New Roman" w:cs="Times New Roman"/>
          <w:b/>
          <w:sz w:val="24"/>
          <w:szCs w:val="24"/>
        </w:rPr>
        <w:t>II</w:t>
      </w:r>
      <w:r w:rsidR="00AC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2F42">
        <w:rPr>
          <w:rFonts w:ascii="Times New Roman" w:hAnsi="Times New Roman" w:cs="Times New Roman"/>
          <w:b/>
          <w:sz w:val="24"/>
          <w:szCs w:val="24"/>
        </w:rPr>
        <w:t>M.Sc. Physics</w:t>
      </w:r>
      <w:r w:rsidR="00AC0D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CB1DEC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CB1DEC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AC0DD2" w:rsidRDefault="00F80E45" w:rsidP="00AC0DD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Analysis of feedb</w:t>
      </w:r>
      <w:r w:rsidR="00AF6077" w:rsidRPr="00AC0D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acks of students </w:t>
      </w: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about course</w:t>
      </w:r>
      <w:r w:rsidR="00041BEE" w:rsidRPr="00AC0D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</w:t>
      </w:r>
      <w:r w:rsidR="00CB1DEC">
        <w:rPr>
          <w:rFonts w:ascii="Times New Roman" w:hAnsi="Times New Roman" w:cs="Times New Roman"/>
          <w:sz w:val="24"/>
          <w:szCs w:val="24"/>
        </w:rPr>
        <w:t xml:space="preserve">d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921"/>
        <w:gridCol w:w="960"/>
        <w:gridCol w:w="960"/>
        <w:gridCol w:w="960"/>
      </w:tblGrid>
      <w:tr w:rsidR="007F064E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21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21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21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21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21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72"/>
        <w:gridCol w:w="948"/>
        <w:gridCol w:w="960"/>
        <w:gridCol w:w="960"/>
        <w:gridCol w:w="960"/>
      </w:tblGrid>
      <w:tr w:rsidR="007F064E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72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48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72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8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72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48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72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48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72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48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7F064E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72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8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F064E" w:rsidRDefault="007F064E" w:rsidP="007F0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7F064E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1120" cy="2476005"/>
            <wp:effectExtent l="19050" t="0" r="21030" b="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Pr="000B177B" w:rsidRDefault="00B45248" w:rsidP="004773B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 409</w:t>
      </w:r>
    </w:p>
    <w:p w:rsidR="00B45248" w:rsidRPr="00236F1C" w:rsidRDefault="007F06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F06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F064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7F064E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0B177B" w:rsidRDefault="00B15C6F" w:rsidP="000C6E53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PHY410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6E53" w:rsidRPr="000B177B" w:rsidRDefault="00B15C6F" w:rsidP="000C6E53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PHY411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0B177B" w:rsidRDefault="00B15C6F" w:rsidP="000C6E53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PHY412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F064E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0B177B">
      <w:pPr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9A173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AC0DD2" w:rsidRDefault="00AC0DD2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B177B">
        <w:rPr>
          <w:rFonts w:ascii="Times New Roman" w:hAnsi="Times New Roman" w:cs="Times New Roman"/>
          <w:b/>
          <w:sz w:val="24"/>
          <w:szCs w:val="24"/>
        </w:rPr>
        <w:t>II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559A1">
        <w:rPr>
          <w:rFonts w:ascii="Times New Roman" w:hAnsi="Times New Roman" w:cs="Times New Roman"/>
          <w:b/>
          <w:sz w:val="24"/>
          <w:szCs w:val="24"/>
        </w:rPr>
        <w:t>M.Sc. Physics 2016-2017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901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921"/>
        <w:gridCol w:w="960"/>
        <w:gridCol w:w="960"/>
        <w:gridCol w:w="960"/>
      </w:tblGrid>
      <w:tr w:rsidR="009A1734" w:rsidRPr="00973C31" w:rsidTr="007A6BA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921"/>
        <w:gridCol w:w="960"/>
        <w:gridCol w:w="960"/>
        <w:gridCol w:w="960"/>
      </w:tblGrid>
      <w:tr w:rsidR="009A1734" w:rsidRPr="00973C31" w:rsidTr="007A6BA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9A1734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1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A1734" w:rsidRDefault="009A1734" w:rsidP="009A1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9A1734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81725" cy="274320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20DD" w:rsidRDefault="000B177B" w:rsidP="00AC0DD2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 409</w:t>
      </w:r>
      <w:r w:rsidR="00AC0DD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3020DD" w:rsidRDefault="005D7678" w:rsidP="003020DD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PHY410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3020DD" w:rsidRDefault="005D7678" w:rsidP="003020DD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PHY411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DD" w:rsidRDefault="005D7678" w:rsidP="00AC0DD2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PHY412</w:t>
      </w:r>
      <w:r w:rsidR="00AC0DD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DD" w:rsidRDefault="005D7678" w:rsidP="00AC0DD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AC0DD2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A173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AC0DD2" w:rsidRDefault="008811B1" w:rsidP="00647ACA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Analysis of feedbacks about</w:t>
      </w:r>
      <w:r w:rsidR="00AC0DD2" w:rsidRPr="00AC0D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878B2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878B2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2878B2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78B2" w:rsidRDefault="002878B2" w:rsidP="00287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878B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995802" cy="2042556"/>
            <wp:effectExtent l="19050" t="0" r="23998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Subject 1: </w:t>
      </w:r>
      <w:r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 409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PHY410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PHY411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PHY412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7B" w:rsidRDefault="000B177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DD2" w:rsidRDefault="00AC0DD2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D2" w:rsidRDefault="00AC0DD2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D4" w:rsidRPr="00AC0DD2" w:rsidRDefault="00AB00D4" w:rsidP="00AB00D4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Criterion: IV</w:t>
      </w:r>
      <w:r w:rsidR="00AC0DD2">
        <w:rPr>
          <w:rFonts w:ascii="Times New Roman" w:hAnsi="Times New Roman" w:cs="Times New Roman"/>
          <w:b/>
          <w:color w:val="7030A0"/>
          <w:sz w:val="24"/>
          <w:szCs w:val="24"/>
        </w:rPr>
        <w:t>: Overall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33ECD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33ECD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 409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PHY410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C33ECD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33ECD" w:rsidRDefault="00C33ECD" w:rsidP="00C33E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C33ECD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32368" cy="1929740"/>
            <wp:effectExtent l="19050" t="0" r="20782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0B177B" w:rsidRDefault="000B177B" w:rsidP="005D767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 409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PHY410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PHY411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0B177B" w:rsidRPr="000B177B">
        <w:rPr>
          <w:rFonts w:ascii="Calibri" w:eastAsia="Times New Roman" w:hAnsi="Calibri" w:cs="Times New Roman"/>
          <w:b/>
          <w:color w:val="000000"/>
          <w:sz w:val="24"/>
          <w:szCs w:val="24"/>
        </w:rPr>
        <w:t>PHY412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33EC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AC0DD2" w:rsidRDefault="00D27376" w:rsidP="00D27376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C0DD2">
        <w:rPr>
          <w:rFonts w:ascii="Times New Roman" w:hAnsi="Times New Roman" w:cs="Times New Roman"/>
          <w:b/>
          <w:color w:val="7030A0"/>
          <w:sz w:val="24"/>
          <w:szCs w:val="24"/>
        </w:rPr>
        <w:t>Analysis of feedbacks of students about criterion V</w:t>
      </w:r>
      <w:r w:rsidR="00AC0DD2" w:rsidRPr="00AC0DD2">
        <w:rPr>
          <w:rFonts w:ascii="Times New Roman" w:hAnsi="Times New Roman" w:cs="Times New Roman"/>
          <w:b/>
          <w:color w:val="7030A0"/>
          <w:sz w:val="24"/>
          <w:szCs w:val="24"/>
        </w:rPr>
        <w:t>: Infrastructure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E35B31" w:rsidRPr="00636C35" w:rsidTr="0031526E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E35B3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35B3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35B3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35B3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E35B3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27376" w:rsidRDefault="00E35B31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14725" cy="22193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Default="0052058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4A3682">
        <w:rPr>
          <w:rFonts w:ascii="Times New Roman" w:hAnsi="Times New Roman" w:cs="Times New Roman"/>
          <w:sz w:val="24"/>
          <w:szCs w:val="24"/>
        </w:rPr>
        <w:t>Physicsas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4A3682" w:rsidRDefault="0052058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Excellent</w:t>
      </w:r>
    </w:p>
    <w:p w:rsidR="004A3682" w:rsidRDefault="0052058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Good</w:t>
      </w:r>
    </w:p>
    <w:p w:rsidR="004A3682" w:rsidRDefault="0052058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Average</w:t>
      </w:r>
    </w:p>
    <w:p w:rsidR="003F5935" w:rsidRDefault="003F5935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FD38BD">
        <w:rPr>
          <w:rFonts w:ascii="Times New Roman" w:hAnsi="Times New Roman" w:cs="Times New Roman"/>
          <w:b/>
          <w:sz w:val="24"/>
          <w:szCs w:val="24"/>
        </w:rPr>
        <w:t>acks of students of Semester- III</w:t>
      </w:r>
      <w:r>
        <w:rPr>
          <w:rFonts w:ascii="Times New Roman" w:hAnsi="Times New Roman" w:cs="Times New Roman"/>
          <w:b/>
          <w:sz w:val="24"/>
          <w:szCs w:val="24"/>
        </w:rPr>
        <w:t xml:space="preserve"> of M.Sc. Physics 2016-2017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7951A3" w:rsidRPr="00636C35" w:rsidTr="00B25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A3" w:rsidRPr="00636C35" w:rsidRDefault="007951A3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951A3" w:rsidRPr="00636C35" w:rsidTr="00B25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A3" w:rsidRPr="00636C35" w:rsidRDefault="007951A3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951A3" w:rsidRPr="00636C35" w:rsidTr="00B25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A3" w:rsidRPr="00636C35" w:rsidRDefault="007951A3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51A3" w:rsidRPr="00636C35" w:rsidTr="00B25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A3" w:rsidRDefault="007951A3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951A3" w:rsidRPr="00636C35" w:rsidTr="00B25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A3" w:rsidRPr="00636C35" w:rsidRDefault="007951A3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A3" w:rsidRDefault="007951A3" w:rsidP="007951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7951A3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7951A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7951A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7951A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51A3">
        <w:rPr>
          <w:rFonts w:ascii="Times New Roman" w:hAnsi="Times New Roman" w:cs="Times New Roman"/>
          <w:b/>
          <w:sz w:val="24"/>
          <w:szCs w:val="24"/>
        </w:rPr>
        <w:t>22</w:t>
      </w:r>
      <w:r w:rsidR="003A33DB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7951A3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D6A4A"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7D6A4A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51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33DB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21" w:rsidRDefault="00F22921" w:rsidP="009569D7">
      <w:pPr>
        <w:spacing w:after="0" w:line="240" w:lineRule="auto"/>
      </w:pPr>
      <w:r>
        <w:separator/>
      </w:r>
    </w:p>
  </w:endnote>
  <w:endnote w:type="continuationSeparator" w:id="0">
    <w:p w:rsidR="00F22921" w:rsidRDefault="00F2292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21" w:rsidRDefault="00F22921" w:rsidP="009569D7">
      <w:pPr>
        <w:spacing w:after="0" w:line="240" w:lineRule="auto"/>
      </w:pPr>
      <w:r>
        <w:separator/>
      </w:r>
    </w:p>
  </w:footnote>
  <w:footnote w:type="continuationSeparator" w:id="0">
    <w:p w:rsidR="00F22921" w:rsidRDefault="00F2292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28E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7B67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20DD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4123"/>
    <w:rsid w:val="006473E1"/>
    <w:rsid w:val="00647ACA"/>
    <w:rsid w:val="00647D54"/>
    <w:rsid w:val="006542E2"/>
    <w:rsid w:val="006613D4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3418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DD2"/>
    <w:rsid w:val="00AC14DD"/>
    <w:rsid w:val="00AC3E5E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968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B1DE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55CE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2921"/>
    <w:rsid w:val="00F257B9"/>
    <w:rsid w:val="00F262A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Sheet2!$B$10:$F$10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Sheet2!$B$11:$F$11</c:f>
              <c:numCache>
                <c:formatCode>0</c:formatCode>
                <c:ptCount val="5"/>
                <c:pt idx="0">
                  <c:v>6.1111111111111107</c:v>
                </c:pt>
                <c:pt idx="1">
                  <c:v>4.4444444444444464</c:v>
                </c:pt>
                <c:pt idx="2">
                  <c:v>3.3333333333333335</c:v>
                </c:pt>
                <c:pt idx="3">
                  <c:v>3.3519553072625681</c:v>
                </c:pt>
                <c:pt idx="4">
                  <c:v>0.62893081761006375</c:v>
                </c:pt>
              </c:numCache>
            </c:numRef>
          </c:val>
        </c:ser>
        <c:ser>
          <c:idx val="1"/>
          <c:order val="1"/>
          <c:tx>
            <c:strRef>
              <c:f>Sheet2!$A$12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Sheet2!$B$10:$F$10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Sheet2!$B$12:$F$12</c:f>
              <c:numCache>
                <c:formatCode>0</c:formatCode>
                <c:ptCount val="5"/>
                <c:pt idx="0">
                  <c:v>20.555555555555554</c:v>
                </c:pt>
                <c:pt idx="1">
                  <c:v>25</c:v>
                </c:pt>
                <c:pt idx="2">
                  <c:v>26.111111111111128</c:v>
                </c:pt>
                <c:pt idx="3">
                  <c:v>24.02234636871507</c:v>
                </c:pt>
                <c:pt idx="4">
                  <c:v>19.49685534591195</c:v>
                </c:pt>
              </c:numCache>
            </c:numRef>
          </c:val>
        </c:ser>
        <c:ser>
          <c:idx val="2"/>
          <c:order val="2"/>
          <c:tx>
            <c:strRef>
              <c:f>Sheet2!$A$13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Sheet2!$B$10:$F$10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Sheet2!$B$13:$F$13</c:f>
              <c:numCache>
                <c:formatCode>0</c:formatCode>
                <c:ptCount val="5"/>
                <c:pt idx="0">
                  <c:v>23.888888888888893</c:v>
                </c:pt>
                <c:pt idx="1">
                  <c:v>21.666666666666668</c:v>
                </c:pt>
                <c:pt idx="2">
                  <c:v>22.222222222222193</c:v>
                </c:pt>
                <c:pt idx="3">
                  <c:v>22.346368715083798</c:v>
                </c:pt>
                <c:pt idx="4">
                  <c:v>17.610062893081761</c:v>
                </c:pt>
              </c:numCache>
            </c:numRef>
          </c:val>
        </c:ser>
        <c:ser>
          <c:idx val="3"/>
          <c:order val="3"/>
          <c:tx>
            <c:strRef>
              <c:f>Sheet2!$A$14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Sheet2!$B$10:$F$10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Sheet2!$B$14:$F$14</c:f>
              <c:numCache>
                <c:formatCode>0</c:formatCode>
                <c:ptCount val="5"/>
                <c:pt idx="0">
                  <c:v>49.444444444444386</c:v>
                </c:pt>
                <c:pt idx="1">
                  <c:v>48.888888888888886</c:v>
                </c:pt>
                <c:pt idx="2">
                  <c:v>48.333333333333336</c:v>
                </c:pt>
                <c:pt idx="3">
                  <c:v>50.279329608938561</c:v>
                </c:pt>
                <c:pt idx="4">
                  <c:v>62.264150943396231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940544"/>
        <c:axId val="50950528"/>
        <c:axId val="0"/>
      </c:bar3DChart>
      <c:catAx>
        <c:axId val="5094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50950528"/>
        <c:crosses val="autoZero"/>
        <c:auto val="1"/>
        <c:lblAlgn val="ctr"/>
        <c:lblOffset val="100"/>
        <c:noMultiLvlLbl val="0"/>
      </c:catAx>
      <c:valAx>
        <c:axId val="50950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09405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Teacher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Sheet2!$I$11:$M$11</c:f>
              <c:numCache>
                <c:formatCode>0</c:formatCode>
                <c:ptCount val="5"/>
                <c:pt idx="0">
                  <c:v>5.940594059405937</c:v>
                </c:pt>
                <c:pt idx="1">
                  <c:v>1.9736842105263157</c:v>
                </c:pt>
                <c:pt idx="2">
                  <c:v>2.6315789473684208</c:v>
                </c:pt>
                <c:pt idx="3">
                  <c:v>3.618421052631581</c:v>
                </c:pt>
                <c:pt idx="4">
                  <c:v>0.74349442379182162</c:v>
                </c:pt>
              </c:numCache>
            </c:numRef>
          </c:val>
        </c:ser>
        <c:ser>
          <c:idx val="1"/>
          <c:order val="1"/>
          <c:tx>
            <c:strRef>
              <c:f>Sheet2!$H$12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Sheet2!$I$12:$M$12</c:f>
              <c:numCache>
                <c:formatCode>0</c:formatCode>
                <c:ptCount val="5"/>
                <c:pt idx="0">
                  <c:v>13.201320132013185</c:v>
                </c:pt>
                <c:pt idx="1">
                  <c:v>12.5</c:v>
                </c:pt>
                <c:pt idx="2">
                  <c:v>12.5</c:v>
                </c:pt>
                <c:pt idx="3">
                  <c:v>10.526315789473676</c:v>
                </c:pt>
                <c:pt idx="4">
                  <c:v>10.780669144981413</c:v>
                </c:pt>
              </c:numCache>
            </c:numRef>
          </c:val>
        </c:ser>
        <c:ser>
          <c:idx val="2"/>
          <c:order val="2"/>
          <c:tx>
            <c:strRef>
              <c:f>Sheet2!$H$13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Sheet2!$I$13:$M$13</c:f>
              <c:numCache>
                <c:formatCode>0</c:formatCode>
                <c:ptCount val="5"/>
                <c:pt idx="0">
                  <c:v>22.772277227722761</c:v>
                </c:pt>
                <c:pt idx="1">
                  <c:v>21.052631578947334</c:v>
                </c:pt>
                <c:pt idx="2">
                  <c:v>20.394736842105235</c:v>
                </c:pt>
                <c:pt idx="3">
                  <c:v>20.065789473684191</c:v>
                </c:pt>
                <c:pt idx="4">
                  <c:v>15.241635687732341</c:v>
                </c:pt>
              </c:numCache>
            </c:numRef>
          </c:val>
        </c:ser>
        <c:ser>
          <c:idx val="3"/>
          <c:order val="3"/>
          <c:tx>
            <c:strRef>
              <c:f>Sheet2!$H$14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Sheet2!$I$14:$M$14</c:f>
              <c:numCache>
                <c:formatCode>0</c:formatCode>
                <c:ptCount val="5"/>
                <c:pt idx="0">
                  <c:v>58.085808580858092</c:v>
                </c:pt>
                <c:pt idx="1">
                  <c:v>64.473684210526258</c:v>
                </c:pt>
                <c:pt idx="2">
                  <c:v>64.473684210526258</c:v>
                </c:pt>
                <c:pt idx="3">
                  <c:v>65.789473684210606</c:v>
                </c:pt>
                <c:pt idx="4">
                  <c:v>73.234200743494412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127424"/>
        <c:axId val="51128960"/>
        <c:axId val="0"/>
      </c:bar3DChart>
      <c:catAx>
        <c:axId val="51127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51128960"/>
        <c:crosses val="autoZero"/>
        <c:auto val="1"/>
        <c:lblAlgn val="ctr"/>
        <c:lblOffset val="100"/>
        <c:noMultiLvlLbl val="0"/>
      </c:catAx>
      <c:valAx>
        <c:axId val="511289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1127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Sheet2!$Q$11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Sheet2!$R$10:$V$10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Sheet2!$R$11:$V$11</c:f>
              <c:numCache>
                <c:formatCode>0</c:formatCode>
                <c:ptCount val="5"/>
                <c:pt idx="0">
                  <c:v>4.9019607843137347</c:v>
                </c:pt>
                <c:pt idx="1">
                  <c:v>2.9411764705882337</c:v>
                </c:pt>
                <c:pt idx="2">
                  <c:v>2.9411764705882337</c:v>
                </c:pt>
                <c:pt idx="3">
                  <c:v>3.9215686274509798</c:v>
                </c:pt>
                <c:pt idx="4">
                  <c:v>3.4090909090909087</c:v>
                </c:pt>
              </c:numCache>
            </c:numRef>
          </c:val>
        </c:ser>
        <c:ser>
          <c:idx val="1"/>
          <c:order val="1"/>
          <c:tx>
            <c:strRef>
              <c:f>Sheet2!$Q$12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Sheet2!$R$10:$V$10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Sheet2!$R$12:$V$12</c:f>
              <c:numCache>
                <c:formatCode>0</c:formatCode>
                <c:ptCount val="5"/>
                <c:pt idx="0">
                  <c:v>12.745098039215685</c:v>
                </c:pt>
                <c:pt idx="1">
                  <c:v>14.705882352941179</c:v>
                </c:pt>
                <c:pt idx="2">
                  <c:v>13.725490196078432</c:v>
                </c:pt>
                <c:pt idx="3">
                  <c:v>12.745098039215685</c:v>
                </c:pt>
                <c:pt idx="4">
                  <c:v>7.9545454545454497</c:v>
                </c:pt>
              </c:numCache>
            </c:numRef>
          </c:val>
        </c:ser>
        <c:ser>
          <c:idx val="2"/>
          <c:order val="2"/>
          <c:tx>
            <c:strRef>
              <c:f>Sheet2!$Q$13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Sheet2!$R$10:$V$10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Sheet2!$R$13:$V$13</c:f>
              <c:numCache>
                <c:formatCode>0</c:formatCode>
                <c:ptCount val="5"/>
                <c:pt idx="0">
                  <c:v>12.745098039215685</c:v>
                </c:pt>
                <c:pt idx="1">
                  <c:v>13.725490196078432</c:v>
                </c:pt>
                <c:pt idx="2">
                  <c:v>15.686274509803924</c:v>
                </c:pt>
                <c:pt idx="3">
                  <c:v>13.725490196078432</c:v>
                </c:pt>
                <c:pt idx="4">
                  <c:v>13.636363636363635</c:v>
                </c:pt>
              </c:numCache>
            </c:numRef>
          </c:val>
        </c:ser>
        <c:ser>
          <c:idx val="3"/>
          <c:order val="3"/>
          <c:tx>
            <c:strRef>
              <c:f>Sheet2!$Q$14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Sheet2!$R$10:$V$10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Sheet2!$R$14:$V$14</c:f>
              <c:numCache>
                <c:formatCode>0</c:formatCode>
                <c:ptCount val="5"/>
                <c:pt idx="0">
                  <c:v>68.627450980392197</c:v>
                </c:pt>
                <c:pt idx="1">
                  <c:v>67.647058823529306</c:v>
                </c:pt>
                <c:pt idx="2">
                  <c:v>65.686274509803908</c:v>
                </c:pt>
                <c:pt idx="3">
                  <c:v>63.725490196078468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162496"/>
        <c:axId val="51172480"/>
        <c:axId val="0"/>
      </c:bar3DChart>
      <c:catAx>
        <c:axId val="51162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51172480"/>
        <c:crosses val="autoZero"/>
        <c:auto val="1"/>
        <c:lblAlgn val="ctr"/>
        <c:lblOffset val="100"/>
        <c:noMultiLvlLbl val="0"/>
      </c:catAx>
      <c:valAx>
        <c:axId val="511724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11624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Sheet2!$AG$11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Sheet2!$AH$10:$AL$10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Sheet2!$AH$11:$AL$11</c:f>
              <c:numCache>
                <c:formatCode>0</c:formatCode>
                <c:ptCount val="5"/>
                <c:pt idx="0">
                  <c:v>6.4516129032258096</c:v>
                </c:pt>
                <c:pt idx="1">
                  <c:v>7.5268817204301079</c:v>
                </c:pt>
                <c:pt idx="2">
                  <c:v>8.6021505376344098</c:v>
                </c:pt>
                <c:pt idx="3">
                  <c:v>6.4516129032258096</c:v>
                </c:pt>
                <c:pt idx="4">
                  <c:v>6.666666666666667</c:v>
                </c:pt>
              </c:numCache>
            </c:numRef>
          </c:val>
        </c:ser>
        <c:ser>
          <c:idx val="1"/>
          <c:order val="1"/>
          <c:tx>
            <c:strRef>
              <c:f>Sheet2!$AG$12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Sheet2!$AH$10:$AL$10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Sheet2!$AH$12:$AL$12</c:f>
              <c:numCache>
                <c:formatCode>0</c:formatCode>
                <c:ptCount val="5"/>
                <c:pt idx="0">
                  <c:v>21.50537634408602</c:v>
                </c:pt>
                <c:pt idx="1">
                  <c:v>15.053763440860216</c:v>
                </c:pt>
                <c:pt idx="2">
                  <c:v>15.053763440860216</c:v>
                </c:pt>
                <c:pt idx="3">
                  <c:v>16.129032258064516</c:v>
                </c:pt>
                <c:pt idx="4">
                  <c:v>6.666666666666667</c:v>
                </c:pt>
              </c:numCache>
            </c:numRef>
          </c:val>
        </c:ser>
        <c:ser>
          <c:idx val="2"/>
          <c:order val="2"/>
          <c:tx>
            <c:strRef>
              <c:f>Sheet2!$AG$13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Sheet2!$AH$10:$AL$10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Sheet2!$AH$13:$AL$13</c:f>
              <c:numCache>
                <c:formatCode>0</c:formatCode>
                <c:ptCount val="5"/>
                <c:pt idx="0">
                  <c:v>10.752688172043017</c:v>
                </c:pt>
                <c:pt idx="1">
                  <c:v>16.129032258064516</c:v>
                </c:pt>
                <c:pt idx="2">
                  <c:v>16.129032258064516</c:v>
                </c:pt>
                <c:pt idx="3">
                  <c:v>16.129032258064516</c:v>
                </c:pt>
                <c:pt idx="4">
                  <c:v>11.111111111111098</c:v>
                </c:pt>
              </c:numCache>
            </c:numRef>
          </c:val>
        </c:ser>
        <c:ser>
          <c:idx val="3"/>
          <c:order val="3"/>
          <c:tx>
            <c:strRef>
              <c:f>Sheet2!$AG$14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Sheet2!$AH$10:$AL$10</c:f>
              <c:strCache>
                <c:ptCount val="5"/>
                <c:pt idx="0">
                  <c:v>PHY 409</c:v>
                </c:pt>
                <c:pt idx="1">
                  <c:v>PHY410</c:v>
                </c:pt>
                <c:pt idx="2">
                  <c:v>PHY411</c:v>
                </c:pt>
                <c:pt idx="3">
                  <c:v>PHY412</c:v>
                </c:pt>
                <c:pt idx="4">
                  <c:v>sub5</c:v>
                </c:pt>
              </c:strCache>
            </c:strRef>
          </c:cat>
          <c:val>
            <c:numRef>
              <c:f>Sheet2!$AH$14:$AL$14</c:f>
              <c:numCache>
                <c:formatCode>0</c:formatCode>
                <c:ptCount val="5"/>
                <c:pt idx="0">
                  <c:v>61.29032258064516</c:v>
                </c:pt>
                <c:pt idx="1">
                  <c:v>61.29032258064516</c:v>
                </c:pt>
                <c:pt idx="2">
                  <c:v>60.215053763440864</c:v>
                </c:pt>
                <c:pt idx="3">
                  <c:v>61.29032258064516</c:v>
                </c:pt>
                <c:pt idx="4">
                  <c:v>75.5555555555555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348992"/>
        <c:axId val="51350528"/>
        <c:axId val="0"/>
      </c:bar3DChart>
      <c:catAx>
        <c:axId val="5134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51350528"/>
        <c:crosses val="autoZero"/>
        <c:auto val="1"/>
        <c:lblAlgn val="ctr"/>
        <c:lblOffset val="100"/>
        <c:noMultiLvlLbl val="0"/>
      </c:catAx>
      <c:valAx>
        <c:axId val="51350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1348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Infrastructure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Sheet2!$AC$17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Sheet2!$AA$18:$AA$21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Sheet2!$AC$18:$AC$21</c:f>
              <c:numCache>
                <c:formatCode>0</c:formatCode>
                <c:ptCount val="4"/>
                <c:pt idx="0">
                  <c:v>12.634088200238381</c:v>
                </c:pt>
                <c:pt idx="1">
                  <c:v>17.997616209773511</c:v>
                </c:pt>
                <c:pt idx="2">
                  <c:v>13.230035756853397</c:v>
                </c:pt>
                <c:pt idx="3">
                  <c:v>56.138259833134683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515776"/>
        <c:axId val="51517312"/>
        <c:axId val="0"/>
      </c:bar3DChart>
      <c:catAx>
        <c:axId val="51515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51517312"/>
        <c:crosses val="autoZero"/>
        <c:auto val="1"/>
        <c:lblAlgn val="ctr"/>
        <c:lblOffset val="100"/>
        <c:noMultiLvlLbl val="0"/>
      </c:catAx>
      <c:valAx>
        <c:axId val="515173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151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Sheet2!$AP$4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Sheet2!$AO$5:$AO$9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Sheet2!$AP$5:$AP$9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22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Sheet2!$AQ$4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Sheet2!$AO$5:$AO$9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Sheet2!$AQ$5:$AQ$9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560448"/>
        <c:axId val="51561984"/>
        <c:axId val="0"/>
      </c:bar3DChart>
      <c:catAx>
        <c:axId val="51560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51561984"/>
        <c:crosses val="autoZero"/>
        <c:auto val="1"/>
        <c:lblAlgn val="ctr"/>
        <c:lblOffset val="100"/>
        <c:noMultiLvlLbl val="0"/>
      </c:catAx>
      <c:valAx>
        <c:axId val="51561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560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A55F-828B-4E88-B9E7-3609654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2018-06-22T11:04:00Z</dcterms:created>
  <dcterms:modified xsi:type="dcterms:W3CDTF">2018-10-16T12:37:00Z</dcterms:modified>
</cp:coreProperties>
</file>