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E2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4C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234F4F">
        <w:rPr>
          <w:rFonts w:ascii="Times New Roman" w:hAnsi="Times New Roman" w:cs="Times New Roman"/>
          <w:b/>
          <w:sz w:val="24"/>
          <w:szCs w:val="24"/>
        </w:rPr>
        <w:t>V</w:t>
      </w:r>
      <w:r w:rsidR="00E2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C404C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996E53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996E53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CE35AC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07832" w:rsidRDefault="00307832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D3CFB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7D3CFB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D3CFB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D3CFB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D3CFB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D3CFB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</w:tbl>
    <w:p w:rsidR="00C552B7" w:rsidRDefault="00C552B7" w:rsidP="00CE35A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CE35AC"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D3CFB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7D3CFB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7D3CFB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7D3CFB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D3CFB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D3CFB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FB" w:rsidRDefault="007D3CFB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E35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473A20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8280" cy="1858488"/>
            <wp:effectExtent l="19050" t="0" r="12370" b="841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DF5E14" w:rsidRPr="00DF5E14">
        <w:rPr>
          <w:b/>
          <w:noProof/>
          <w:sz w:val="24"/>
          <w:szCs w:val="24"/>
          <w:lang w:val="en-IN" w:eastAsia="en-IN"/>
        </w:rPr>
        <w:t>Information &amp; Communication Technology in Phy Edu</w:t>
      </w:r>
    </w:p>
    <w:p w:rsidR="00B45248" w:rsidRPr="00236F1C" w:rsidRDefault="00473A2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73A2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73A2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473A20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DF5E14" w:rsidRPr="00DF5E14">
        <w:rPr>
          <w:b/>
          <w:noProof/>
          <w:sz w:val="24"/>
          <w:szCs w:val="24"/>
          <w:lang w:val="en-IN" w:eastAsia="en-IN"/>
        </w:rPr>
        <w:t>Sports Psychology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6CE" w:rsidRPr="00CA06CE">
        <w:rPr>
          <w:b/>
          <w:noProof/>
          <w:sz w:val="24"/>
          <w:szCs w:val="24"/>
          <w:lang w:val="en-IN" w:eastAsia="en-IN"/>
        </w:rPr>
        <w:t>Sports Pedagogy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6CE" w:rsidRPr="00CA06CE">
        <w:rPr>
          <w:b/>
          <w:noProof/>
          <w:sz w:val="24"/>
          <w:szCs w:val="24"/>
          <w:lang w:val="en-IN" w:eastAsia="en-IN"/>
        </w:rPr>
        <w:t>Value &amp; Environmental Education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60710D" w:rsidRPr="0060710D">
        <w:rPr>
          <w:b/>
          <w:noProof/>
          <w:sz w:val="24"/>
          <w:szCs w:val="24"/>
          <w:lang w:val="en-IN" w:eastAsia="en-IN"/>
        </w:rPr>
        <w:t>Education Technology in Phy Edu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73A2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832" w:rsidRDefault="00307832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832" w:rsidRDefault="00307832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42C">
        <w:rPr>
          <w:rFonts w:ascii="Times New Roman" w:hAnsi="Times New Roman" w:cs="Times New Roman"/>
          <w:b/>
          <w:sz w:val="24"/>
          <w:szCs w:val="24"/>
        </w:rPr>
        <w:t>Semester</w:t>
      </w:r>
      <w:r w:rsidR="00234F4F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="00234F4F">
        <w:rPr>
          <w:rFonts w:ascii="Times New Roman" w:hAnsi="Times New Roman" w:cs="Times New Roman"/>
          <w:b/>
          <w:sz w:val="24"/>
          <w:szCs w:val="24"/>
        </w:rPr>
        <w:t xml:space="preserve"> of Physical Education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E35AC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4ED"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 w:rsidR="00C114ED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432" w:type="dxa"/>
        <w:jc w:val="center"/>
        <w:tblInd w:w="93" w:type="dxa"/>
        <w:tblLook w:val="04A0" w:firstRow="1" w:lastRow="0" w:firstColumn="1" w:lastColumn="0" w:noHBand="0" w:noVBand="1"/>
      </w:tblPr>
      <w:tblGrid>
        <w:gridCol w:w="1072"/>
        <w:gridCol w:w="1072"/>
        <w:gridCol w:w="1072"/>
        <w:gridCol w:w="1072"/>
        <w:gridCol w:w="1072"/>
        <w:gridCol w:w="1072"/>
      </w:tblGrid>
      <w:tr w:rsidR="00C134FC" w:rsidRPr="00CE35AC" w:rsidTr="00CE35AC">
        <w:trPr>
          <w:trHeight w:val="30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134F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134F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134F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134F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134F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5</w:t>
            </w:r>
          </w:p>
        </w:tc>
      </w:tr>
      <w:tr w:rsidR="00C134FC" w:rsidRPr="00CE35AC" w:rsidTr="00CE35AC">
        <w:trPr>
          <w:trHeight w:val="309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C134FC" w:rsidRPr="00CE35AC" w:rsidTr="00CE35AC">
        <w:trPr>
          <w:trHeight w:val="309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C134FC" w:rsidRPr="00CE35AC" w:rsidTr="00CE35AC">
        <w:trPr>
          <w:trHeight w:val="309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C134FC" w:rsidRPr="00CE35AC" w:rsidTr="00CE35AC">
        <w:trPr>
          <w:trHeight w:val="309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C134FC" w:rsidRPr="00CE35AC" w:rsidTr="00CE35AC">
        <w:trPr>
          <w:trHeight w:val="309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</w:tr>
    </w:tbl>
    <w:p w:rsidR="00014B5A" w:rsidRDefault="00014B5A" w:rsidP="00CE35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CE35AC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973C31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864" w:type="dxa"/>
        <w:jc w:val="center"/>
        <w:tblInd w:w="93" w:type="dxa"/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1144"/>
        <w:gridCol w:w="1144"/>
        <w:gridCol w:w="1144"/>
      </w:tblGrid>
      <w:tr w:rsidR="00CE35AC" w:rsidRPr="005F0CA9" w:rsidTr="00CE35AC">
        <w:trPr>
          <w:trHeight w:val="30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35AC" w:rsidRPr="00CE35AC" w:rsidRDefault="00CE35A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35A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35A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35A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35A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E35AC" w:rsidRPr="00CE35AC" w:rsidRDefault="00CE35AC" w:rsidP="00CE35A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Times New Roman" w:hAnsi="Times New Roman" w:cs="Times New Roman"/>
                <w:sz w:val="20"/>
                <w:szCs w:val="20"/>
              </w:rPr>
              <w:t>Teacher 5</w:t>
            </w:r>
          </w:p>
        </w:tc>
      </w:tr>
      <w:tr w:rsidR="00C134FC" w:rsidRPr="005F0CA9" w:rsidTr="00CE35AC">
        <w:trPr>
          <w:trHeight w:val="309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C134FC" w:rsidRPr="005F0CA9" w:rsidTr="00CE35AC">
        <w:trPr>
          <w:trHeight w:val="309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C134FC" w:rsidRPr="005F0CA9" w:rsidTr="00CE35AC">
        <w:trPr>
          <w:trHeight w:val="309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</w:tr>
      <w:tr w:rsidR="00C134FC" w:rsidRPr="005F0CA9" w:rsidTr="00CE35AC">
        <w:trPr>
          <w:trHeight w:val="309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C134FC" w:rsidRPr="005F0CA9" w:rsidTr="00CE35AC">
        <w:trPr>
          <w:trHeight w:val="309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FC" w:rsidRPr="00CE35AC" w:rsidRDefault="00C134FC" w:rsidP="00CE35A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35AC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</w:tbl>
    <w:p w:rsidR="00973C31" w:rsidRDefault="00973C31" w:rsidP="00CE35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C134FC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9532" cy="2345377"/>
            <wp:effectExtent l="19050" t="0" r="12618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9146B" w:rsidRDefault="003D2EC5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Teacher</w:t>
      </w:r>
      <w:r w:rsidR="000B177B">
        <w:rPr>
          <w:b/>
          <w:noProof/>
          <w:sz w:val="24"/>
          <w:szCs w:val="24"/>
          <w:lang w:val="en-IN" w:eastAsia="en-IN"/>
        </w:rPr>
        <w:t xml:space="preserve"> 1: 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146B" w:rsidRDefault="003D2EC5" w:rsidP="003D2EC5">
      <w:pPr>
        <w:rPr>
          <w:b/>
          <w:noProof/>
          <w:sz w:val="24"/>
          <w:szCs w:val="24"/>
          <w:lang w:val="en-IN" w:eastAsia="en-IN"/>
        </w:rPr>
      </w:pPr>
      <w:r w:rsidRPr="003D2EC5">
        <w:rPr>
          <w:b/>
          <w:noProof/>
          <w:sz w:val="24"/>
          <w:szCs w:val="24"/>
          <w:lang w:val="en-IN" w:eastAsia="en-IN"/>
        </w:rPr>
        <w:t xml:space="preserve">Teacher </w:t>
      </w:r>
      <w:r>
        <w:rPr>
          <w:b/>
          <w:noProof/>
          <w:sz w:val="24"/>
          <w:szCs w:val="24"/>
          <w:lang w:val="en-IN" w:eastAsia="en-IN"/>
        </w:rPr>
        <w:t>2</w:t>
      </w:r>
      <w:r w:rsidRPr="003D2EC5">
        <w:rPr>
          <w:b/>
          <w:noProof/>
          <w:sz w:val="24"/>
          <w:szCs w:val="24"/>
          <w:lang w:val="en-IN" w:eastAsia="en-IN"/>
        </w:rPr>
        <w:t xml:space="preserve">: 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9146B" w:rsidRDefault="003D2EC5" w:rsidP="003D2EC5">
      <w:pPr>
        <w:rPr>
          <w:b/>
          <w:noProof/>
          <w:sz w:val="24"/>
          <w:szCs w:val="24"/>
          <w:lang w:val="en-IN" w:eastAsia="en-IN"/>
        </w:rPr>
      </w:pPr>
      <w:r w:rsidRPr="003D2EC5">
        <w:rPr>
          <w:b/>
          <w:noProof/>
          <w:sz w:val="24"/>
          <w:szCs w:val="24"/>
          <w:lang w:val="en-IN" w:eastAsia="en-IN"/>
        </w:rPr>
        <w:t xml:space="preserve">Teacher </w:t>
      </w:r>
      <w:r>
        <w:rPr>
          <w:b/>
          <w:noProof/>
          <w:sz w:val="24"/>
          <w:szCs w:val="24"/>
          <w:lang w:val="en-IN" w:eastAsia="en-IN"/>
        </w:rPr>
        <w:t>3</w:t>
      </w:r>
      <w:r w:rsidRPr="003D2EC5">
        <w:rPr>
          <w:b/>
          <w:noProof/>
          <w:sz w:val="24"/>
          <w:szCs w:val="24"/>
          <w:lang w:val="en-IN" w:eastAsia="en-IN"/>
        </w:rPr>
        <w:t>: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6B" w:rsidRDefault="003D2EC5" w:rsidP="003D2EC5">
      <w:pPr>
        <w:rPr>
          <w:b/>
          <w:noProof/>
          <w:sz w:val="24"/>
          <w:szCs w:val="24"/>
          <w:lang w:val="en-IN" w:eastAsia="en-IN"/>
        </w:rPr>
      </w:pPr>
      <w:r w:rsidRPr="003D2EC5">
        <w:rPr>
          <w:b/>
          <w:noProof/>
          <w:sz w:val="24"/>
          <w:szCs w:val="24"/>
          <w:lang w:val="en-IN" w:eastAsia="en-IN"/>
        </w:rPr>
        <w:t xml:space="preserve">Teacher </w:t>
      </w:r>
      <w:r>
        <w:rPr>
          <w:b/>
          <w:noProof/>
          <w:sz w:val="24"/>
          <w:szCs w:val="24"/>
          <w:lang w:val="en-IN" w:eastAsia="en-IN"/>
        </w:rPr>
        <w:t>4</w:t>
      </w:r>
      <w:r w:rsidRPr="003D2EC5">
        <w:rPr>
          <w:b/>
          <w:noProof/>
          <w:sz w:val="24"/>
          <w:szCs w:val="24"/>
          <w:lang w:val="en-IN" w:eastAsia="en-IN"/>
        </w:rPr>
        <w:t xml:space="preserve">: 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9146B" w:rsidRDefault="003D2EC5" w:rsidP="003D2EC5">
      <w:pPr>
        <w:rPr>
          <w:b/>
          <w:noProof/>
          <w:sz w:val="24"/>
          <w:szCs w:val="24"/>
          <w:lang w:val="en-IN" w:eastAsia="en-IN"/>
        </w:rPr>
      </w:pPr>
      <w:r w:rsidRPr="003D2EC5">
        <w:rPr>
          <w:b/>
          <w:noProof/>
          <w:sz w:val="24"/>
          <w:szCs w:val="24"/>
          <w:lang w:val="en-IN" w:eastAsia="en-IN"/>
        </w:rPr>
        <w:lastRenderedPageBreak/>
        <w:t xml:space="preserve">Teacher </w:t>
      </w:r>
      <w:r>
        <w:rPr>
          <w:b/>
          <w:noProof/>
          <w:sz w:val="24"/>
          <w:szCs w:val="24"/>
          <w:lang w:val="en-IN" w:eastAsia="en-IN"/>
        </w:rPr>
        <w:t>5</w:t>
      </w:r>
      <w:r w:rsidRPr="003D2EC5">
        <w:rPr>
          <w:b/>
          <w:noProof/>
          <w:sz w:val="24"/>
          <w:szCs w:val="24"/>
          <w:lang w:val="en-IN" w:eastAsia="en-IN"/>
        </w:rPr>
        <w:t>: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134F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about</w:t>
      </w:r>
      <w:r w:rsidR="003D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3D2EC5"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D2EC5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</w:tbl>
    <w:p w:rsidR="004F0740" w:rsidRDefault="004F0740" w:rsidP="003D2EC5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 w:rsidR="003D2EC5">
        <w:rPr>
          <w:rFonts w:ascii="Times New Roman" w:hAnsi="Times New Roman" w:cs="Times New Roman"/>
          <w:sz w:val="24"/>
          <w:szCs w:val="24"/>
        </w:rPr>
        <w:t xml:space="preserve"> 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F1FB7" w:rsidRPr="00464669" w:rsidTr="005F1F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B7" w:rsidRDefault="005F1FB7" w:rsidP="003D2E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3D2EC5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5F1FB7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6270171" cy="2250374"/>
            <wp:effectExtent l="19050" t="0" r="16329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DF5E14" w:rsidRPr="00DF5E14">
        <w:rPr>
          <w:b/>
          <w:noProof/>
          <w:sz w:val="24"/>
          <w:szCs w:val="24"/>
          <w:lang w:val="en-IN" w:eastAsia="en-IN"/>
        </w:rPr>
        <w:t>Information &amp; Communication Technology in Phy Edu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DF5E14" w:rsidRPr="00DF5E14">
        <w:rPr>
          <w:b/>
          <w:noProof/>
          <w:sz w:val="24"/>
          <w:szCs w:val="24"/>
          <w:lang w:val="en-IN" w:eastAsia="en-IN"/>
        </w:rPr>
        <w:t>Sports Psychology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CA06CE" w:rsidRPr="00CA06CE">
        <w:rPr>
          <w:b/>
          <w:noProof/>
          <w:sz w:val="24"/>
          <w:szCs w:val="24"/>
          <w:lang w:val="en-IN" w:eastAsia="en-IN"/>
        </w:rPr>
        <w:t>Sports Pedagogy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CA06CE" w:rsidRPr="00CA06CE">
        <w:rPr>
          <w:b/>
          <w:noProof/>
          <w:sz w:val="24"/>
          <w:szCs w:val="24"/>
          <w:lang w:val="en-IN" w:eastAsia="en-IN"/>
        </w:rPr>
        <w:t>Value &amp; Environmental Education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60710D" w:rsidRPr="0060710D">
        <w:rPr>
          <w:b/>
          <w:noProof/>
          <w:sz w:val="24"/>
          <w:szCs w:val="24"/>
          <w:lang w:val="en-IN" w:eastAsia="en-IN"/>
        </w:rPr>
        <w:t>Education Technology in Phy Edu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F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32" w:rsidRPr="00307832" w:rsidRDefault="00307832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3D2EC5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D8A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3D8A"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="005E3D8A"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 w:rsidR="005E3D8A"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 w:rsidR="005E3D8A"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D2EC5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D2EC5" w:rsidRDefault="003D2EC5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</w:tbl>
    <w:p w:rsidR="0079197C" w:rsidRDefault="003D2EC5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97C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9197C"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 w:rsidR="0079197C"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 w:rsidR="0079197C"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 w:rsidR="0079197C"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9387C" w:rsidRPr="006E3BFF" w:rsidTr="00CE35A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7C" w:rsidRDefault="0049387C" w:rsidP="003D2E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E3D8A" w:rsidRPr="0077497A" w:rsidRDefault="0049387C" w:rsidP="003D2EC5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40186" cy="2035348"/>
            <wp:effectExtent l="19050" t="0" r="22514" b="3002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Subject 1: </w:t>
      </w:r>
      <w:r w:rsidR="00DF5E14" w:rsidRPr="00DF5E14">
        <w:rPr>
          <w:b/>
          <w:noProof/>
          <w:sz w:val="24"/>
          <w:szCs w:val="24"/>
          <w:lang w:val="en-IN" w:eastAsia="en-IN"/>
        </w:rPr>
        <w:t>Information &amp; Communication Technology in Phy Edu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DF5E14" w:rsidRPr="00DF5E14">
        <w:rPr>
          <w:b/>
          <w:noProof/>
          <w:sz w:val="24"/>
          <w:szCs w:val="24"/>
          <w:lang w:val="en-IN" w:eastAsia="en-IN"/>
        </w:rPr>
        <w:t>Sports Psychology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CA06CE" w:rsidRPr="00CA06CE">
        <w:rPr>
          <w:b/>
          <w:noProof/>
          <w:sz w:val="24"/>
          <w:szCs w:val="24"/>
          <w:lang w:val="en-IN" w:eastAsia="en-IN"/>
        </w:rPr>
        <w:t>Sports Pedagogy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CA06CE" w:rsidRPr="00CA06CE">
        <w:rPr>
          <w:b/>
          <w:noProof/>
          <w:sz w:val="24"/>
          <w:szCs w:val="24"/>
          <w:lang w:val="en-IN" w:eastAsia="en-IN"/>
        </w:rPr>
        <w:t>Value &amp; Environmental Education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60710D" w:rsidRPr="0060710D">
        <w:rPr>
          <w:b/>
          <w:noProof/>
          <w:sz w:val="24"/>
          <w:szCs w:val="24"/>
          <w:lang w:val="en-IN" w:eastAsia="en-IN"/>
        </w:rPr>
        <w:t>Education Technology in Phy Edu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938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3D2EC5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20F56" w:rsidRDefault="00E20F56" w:rsidP="00E20F56">
      <w:pPr>
        <w:rPr>
          <w:rFonts w:ascii="Times New Roman" w:hAnsi="Times New Roman" w:cs="Times New Roman"/>
          <w:b/>
          <w:sz w:val="24"/>
          <w:szCs w:val="24"/>
        </w:rPr>
      </w:pPr>
    </w:p>
    <w:p w:rsidR="00E20F56" w:rsidRDefault="00E20F56" w:rsidP="00E20F56">
      <w:pPr>
        <w:rPr>
          <w:rFonts w:ascii="Times New Roman" w:hAnsi="Times New Roman" w:cs="Times New Roman"/>
          <w:b/>
          <w:sz w:val="24"/>
          <w:szCs w:val="24"/>
        </w:rPr>
      </w:pPr>
    </w:p>
    <w:p w:rsidR="00E20F56" w:rsidRDefault="00E20F56" w:rsidP="00E20F56">
      <w:pPr>
        <w:rPr>
          <w:rFonts w:ascii="Times New Roman" w:hAnsi="Times New Roman" w:cs="Times New Roman"/>
          <w:b/>
          <w:sz w:val="24"/>
          <w:szCs w:val="24"/>
        </w:rPr>
      </w:pPr>
    </w:p>
    <w:p w:rsidR="00E20F56" w:rsidRPr="00E20F56" w:rsidRDefault="00E20F56" w:rsidP="00E20F56">
      <w:pPr>
        <w:rPr>
          <w:rFonts w:ascii="Times New Roman" w:hAnsi="Times New Roman" w:cs="Times New Roman"/>
          <w:b/>
          <w:sz w:val="24"/>
          <w:szCs w:val="24"/>
        </w:rPr>
      </w:pPr>
      <w:r w:rsidRPr="00E20F56">
        <w:rPr>
          <w:rFonts w:ascii="Times New Roman" w:hAnsi="Times New Roman" w:cs="Times New Roman"/>
          <w:b/>
          <w:sz w:val="24"/>
          <w:szCs w:val="24"/>
        </w:rPr>
        <w:lastRenderedPageBreak/>
        <w:t>Analysis Report of Evaluation of Infrastructure:</w:t>
      </w:r>
    </w:p>
    <w:p w:rsidR="00E20F56" w:rsidRDefault="00E20F56" w:rsidP="00E20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E20F56" w:rsidRPr="00636C35" w:rsidTr="00A85BF2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E20F56" w:rsidRPr="00636C35" w:rsidTr="00A85BF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E20F56" w:rsidRPr="00636C35" w:rsidTr="00A85BF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E20F56" w:rsidRPr="00636C35" w:rsidTr="00A85BF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E20F56" w:rsidRPr="00636C35" w:rsidTr="00A85BF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Outstanding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E20F56" w:rsidRPr="00636C35" w:rsidTr="00A85BF2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E20F56" w:rsidRPr="00A179F4" w:rsidRDefault="00E20F56" w:rsidP="00E20F5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81400" cy="2162175"/>
            <wp:effectExtent l="0" t="0" r="19050" b="9525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F56" w:rsidRPr="008C2CAE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Physical Education as Outstanding</w:t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Physical Education as Excellent</w:t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Physical Education as Good</w:t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Physical Education as Average</w:t>
      </w:r>
    </w:p>
    <w:p w:rsidR="00E20F56" w:rsidRDefault="00E20F56" w:rsidP="00E20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E20F56" w:rsidRPr="00636C35" w:rsidRDefault="00E20F56" w:rsidP="00E20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E20F56" w:rsidRDefault="00E20F56" w:rsidP="00E20F5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Style w:val="TableGridLight1"/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E20F56" w:rsidRPr="00636C35" w:rsidTr="00A85BF2">
        <w:trPr>
          <w:trHeight w:val="764"/>
        </w:trPr>
        <w:tc>
          <w:tcPr>
            <w:tcW w:w="1931" w:type="dxa"/>
            <w:shd w:val="clear" w:color="auto" w:fill="F79646" w:themeFill="accent6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shd w:val="clear" w:color="auto" w:fill="F79646" w:themeFill="accent6"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 (%)</w:t>
            </w:r>
          </w:p>
        </w:tc>
        <w:tc>
          <w:tcPr>
            <w:tcW w:w="1330" w:type="dxa"/>
            <w:shd w:val="clear" w:color="auto" w:fill="F79646" w:themeFill="accent6"/>
            <w:vAlign w:val="center"/>
            <w:hideMark/>
          </w:tcPr>
          <w:p w:rsidR="00E20F56" w:rsidRDefault="00E20F56" w:rsidP="00A85B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 (%)</w:t>
            </w:r>
          </w:p>
        </w:tc>
      </w:tr>
      <w:tr w:rsidR="00E20F56" w:rsidRPr="00636C35" w:rsidTr="00A85BF2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20F56" w:rsidRPr="00636C35" w:rsidTr="00A85BF2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33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20F56" w:rsidRPr="00636C35" w:rsidTr="00A85BF2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33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E20F56" w:rsidRPr="00636C35" w:rsidTr="00A85BF2">
        <w:trPr>
          <w:trHeight w:val="450"/>
        </w:trPr>
        <w:tc>
          <w:tcPr>
            <w:tcW w:w="1931" w:type="dxa"/>
            <w:noWrap/>
            <w:vAlign w:val="center"/>
            <w:hideMark/>
          </w:tcPr>
          <w:p w:rsidR="00E20F56" w:rsidRDefault="00E20F56" w:rsidP="00A85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3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E20F56" w:rsidRPr="00636C35" w:rsidTr="00A85BF2">
        <w:trPr>
          <w:trHeight w:val="450"/>
        </w:trPr>
        <w:tc>
          <w:tcPr>
            <w:tcW w:w="1931" w:type="dxa"/>
            <w:noWrap/>
            <w:vAlign w:val="center"/>
          </w:tcPr>
          <w:p w:rsidR="00E20F56" w:rsidRDefault="00E20F56" w:rsidP="00A85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330" w:type="dxa"/>
            <w:noWrap/>
            <w:vAlign w:val="bottom"/>
          </w:tcPr>
          <w:p w:rsidR="00E20F56" w:rsidRDefault="00E20F56" w:rsidP="00A85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</w:tbl>
    <w:p w:rsidR="00E20F56" w:rsidRDefault="00E20F56" w:rsidP="00E20F5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F56" w:rsidRPr="000962BF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Pr="000962BF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Pr="000962BF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E20F56" w:rsidRDefault="00E20F56" w:rsidP="00E20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89864" cy="2113808"/>
            <wp:effectExtent l="19050" t="0" r="10886" b="742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E20F56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E20F56" w:rsidRPr="00785B5D" w:rsidRDefault="00E20F56" w:rsidP="00E20F5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E20F56" w:rsidRDefault="00E20F56" w:rsidP="00E20F56">
      <w:pPr>
        <w:rPr>
          <w:rFonts w:ascii="Times New Roman" w:hAnsi="Times New Roman" w:cs="Times New Roman"/>
          <w:sz w:val="24"/>
          <w:szCs w:val="24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F9" w:rsidRDefault="00C65FF9" w:rsidP="009569D7">
      <w:pPr>
        <w:spacing w:after="0" w:line="240" w:lineRule="auto"/>
      </w:pPr>
      <w:r>
        <w:separator/>
      </w:r>
    </w:p>
  </w:endnote>
  <w:endnote w:type="continuationSeparator" w:id="0">
    <w:p w:rsidR="00C65FF9" w:rsidRDefault="00C65FF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F9" w:rsidRDefault="00C65FF9" w:rsidP="009569D7">
      <w:pPr>
        <w:spacing w:after="0" w:line="240" w:lineRule="auto"/>
      </w:pPr>
      <w:r>
        <w:separator/>
      </w:r>
    </w:p>
  </w:footnote>
  <w:footnote w:type="continuationSeparator" w:id="0">
    <w:p w:rsidR="00C65FF9" w:rsidRDefault="00C65FF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4F4F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832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2EC5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3A20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387C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1FB7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0710D"/>
    <w:rsid w:val="00610D4F"/>
    <w:rsid w:val="0061214E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3CFB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6182"/>
    <w:rsid w:val="008B71F4"/>
    <w:rsid w:val="008C404C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2684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367B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4FC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65FF9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6C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35AC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146B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DF5E14"/>
    <w:rsid w:val="00E008C6"/>
    <w:rsid w:val="00E00CEB"/>
    <w:rsid w:val="00E07A76"/>
    <w:rsid w:val="00E15EFD"/>
    <w:rsid w:val="00E15FF5"/>
    <w:rsid w:val="00E165F4"/>
    <w:rsid w:val="00E20D8D"/>
    <w:rsid w:val="00E20F56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2541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E20F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Infrastructure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Infrastructur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Sheet4!$A$38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Sheet4!$B$37:$F$37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Sheet4!$B$38:$F$38</c:f>
              <c:numCache>
                <c:formatCode>0</c:formatCode>
                <c:ptCount val="5"/>
                <c:pt idx="0">
                  <c:v>9.3750000000000036</c:v>
                </c:pt>
                <c:pt idx="1">
                  <c:v>15.625</c:v>
                </c:pt>
                <c:pt idx="2">
                  <c:v>25</c:v>
                </c:pt>
                <c:pt idx="3">
                  <c:v>15.625</c:v>
                </c:pt>
                <c:pt idx="4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Sheet4!$A$39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Sheet4!$B$37:$F$37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Sheet4!$B$39:$F$39</c:f>
              <c:numCache>
                <c:formatCode>0</c:formatCode>
                <c:ptCount val="5"/>
                <c:pt idx="0">
                  <c:v>43.75</c:v>
                </c:pt>
                <c:pt idx="1">
                  <c:v>46.875</c:v>
                </c:pt>
                <c:pt idx="2">
                  <c:v>37.5</c:v>
                </c:pt>
                <c:pt idx="3">
                  <c:v>50</c:v>
                </c:pt>
                <c:pt idx="4">
                  <c:v>43.75</c:v>
                </c:pt>
              </c:numCache>
            </c:numRef>
          </c:val>
        </c:ser>
        <c:ser>
          <c:idx val="2"/>
          <c:order val="2"/>
          <c:tx>
            <c:strRef>
              <c:f>Sheet4!$A$40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Sheet4!$B$37:$F$37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Sheet4!$B$40:$F$40</c:f>
              <c:numCache>
                <c:formatCode>0</c:formatCode>
                <c:ptCount val="5"/>
                <c:pt idx="0">
                  <c:v>28.125</c:v>
                </c:pt>
                <c:pt idx="1">
                  <c:v>18.75</c:v>
                </c:pt>
                <c:pt idx="2">
                  <c:v>25</c:v>
                </c:pt>
                <c:pt idx="3">
                  <c:v>25</c:v>
                </c:pt>
                <c:pt idx="4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Sheet4!$A$41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Sheet4!$B$37:$F$37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Sheet4!$B$41:$F$41</c:f>
              <c:numCache>
                <c:formatCode>0</c:formatCode>
                <c:ptCount val="5"/>
                <c:pt idx="0">
                  <c:v>18.75</c:v>
                </c:pt>
                <c:pt idx="1">
                  <c:v>18.75</c:v>
                </c:pt>
                <c:pt idx="2">
                  <c:v>12.5</c:v>
                </c:pt>
                <c:pt idx="3">
                  <c:v>9.3750000000000036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2109440"/>
        <c:axId val="282110976"/>
        <c:axId val="0"/>
      </c:bar3DChart>
      <c:catAx>
        <c:axId val="282109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2110976"/>
        <c:crosses val="autoZero"/>
        <c:auto val="1"/>
        <c:lblAlgn val="ctr"/>
        <c:lblOffset val="100"/>
        <c:noMultiLvlLbl val="0"/>
      </c:catAx>
      <c:valAx>
        <c:axId val="2821109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21094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Sheet4!$I$38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Sheet4!$J$37:$N$37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Sheet4!$J$38:$N$38</c:f>
              <c:numCache>
                <c:formatCode>0</c:formatCode>
                <c:ptCount val="5"/>
                <c:pt idx="0">
                  <c:v>6.25</c:v>
                </c:pt>
                <c:pt idx="1">
                  <c:v>8.3333333333333321</c:v>
                </c:pt>
                <c:pt idx="2">
                  <c:v>2.7777777777777799</c:v>
                </c:pt>
                <c:pt idx="3">
                  <c:v>10.416666666666673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Sheet4!$I$39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Sheet4!$J$37:$N$37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Sheet4!$J$39:$N$39</c:f>
              <c:numCache>
                <c:formatCode>0</c:formatCode>
                <c:ptCount val="5"/>
                <c:pt idx="0">
                  <c:v>31.25</c:v>
                </c:pt>
                <c:pt idx="1">
                  <c:v>33.333333333333329</c:v>
                </c:pt>
                <c:pt idx="2">
                  <c:v>33.333333333333329</c:v>
                </c:pt>
                <c:pt idx="3">
                  <c:v>25</c:v>
                </c:pt>
                <c:pt idx="4">
                  <c:v>29.166666666666668</c:v>
                </c:pt>
              </c:numCache>
            </c:numRef>
          </c:val>
        </c:ser>
        <c:ser>
          <c:idx val="2"/>
          <c:order val="2"/>
          <c:tx>
            <c:strRef>
              <c:f>Sheet4!$I$40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Sheet4!$J$37:$N$37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Sheet4!$J$40:$N$40</c:f>
              <c:numCache>
                <c:formatCode>0</c:formatCode>
                <c:ptCount val="5"/>
                <c:pt idx="0">
                  <c:v>43.75</c:v>
                </c:pt>
                <c:pt idx="1">
                  <c:v>39.583333333333329</c:v>
                </c:pt>
                <c:pt idx="2">
                  <c:v>33.333333333333329</c:v>
                </c:pt>
                <c:pt idx="3">
                  <c:v>29.166666666666668</c:v>
                </c:pt>
                <c:pt idx="4">
                  <c:v>31.25</c:v>
                </c:pt>
              </c:numCache>
            </c:numRef>
          </c:val>
        </c:ser>
        <c:ser>
          <c:idx val="3"/>
          <c:order val="3"/>
          <c:tx>
            <c:strRef>
              <c:f>Sheet4!$I$41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Sheet4!$J$37:$N$37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Sheet4!$J$41:$N$41</c:f>
              <c:numCache>
                <c:formatCode>0</c:formatCode>
                <c:ptCount val="5"/>
                <c:pt idx="0">
                  <c:v>18.75</c:v>
                </c:pt>
                <c:pt idx="1">
                  <c:v>18.75</c:v>
                </c:pt>
                <c:pt idx="2">
                  <c:v>30.555555555555557</c:v>
                </c:pt>
                <c:pt idx="3">
                  <c:v>35.416666666666629</c:v>
                </c:pt>
                <c:pt idx="4">
                  <c:v>27.083333333333311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2287488"/>
        <c:axId val="282309760"/>
        <c:axId val="0"/>
      </c:bar3DChart>
      <c:catAx>
        <c:axId val="282287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2309760"/>
        <c:crosses val="autoZero"/>
        <c:auto val="1"/>
        <c:lblAlgn val="ctr"/>
        <c:lblOffset val="100"/>
        <c:noMultiLvlLbl val="0"/>
      </c:catAx>
      <c:valAx>
        <c:axId val="2823097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2287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Sheet4!$Q$38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Sheet4!$R$37:$V$37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Sheet4!$R$38:$V$38</c:f>
              <c:numCache>
                <c:formatCode>0</c:formatCode>
                <c:ptCount val="5"/>
                <c:pt idx="0">
                  <c:v>6.25</c:v>
                </c:pt>
                <c:pt idx="1">
                  <c:v>12.5</c:v>
                </c:pt>
                <c:pt idx="2">
                  <c:v>8.3333333333333321</c:v>
                </c:pt>
                <c:pt idx="3">
                  <c:v>18.75</c:v>
                </c:pt>
                <c:pt idx="4">
                  <c:v>18.75</c:v>
                </c:pt>
              </c:numCache>
            </c:numRef>
          </c:val>
        </c:ser>
        <c:ser>
          <c:idx val="1"/>
          <c:order val="1"/>
          <c:tx>
            <c:strRef>
              <c:f>Sheet4!$Q$39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Sheet4!$R$37:$V$37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Sheet4!$R$39:$V$39</c:f>
              <c:numCache>
                <c:formatCode>0</c:formatCode>
                <c:ptCount val="5"/>
                <c:pt idx="0">
                  <c:v>18.75</c:v>
                </c:pt>
                <c:pt idx="1">
                  <c:v>18.75</c:v>
                </c:pt>
                <c:pt idx="2">
                  <c:v>25</c:v>
                </c:pt>
                <c:pt idx="3">
                  <c:v>12.5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Sheet4!$Q$40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Sheet4!$R$37:$V$37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Sheet4!$R$40:$V$40</c:f>
              <c:numCache>
                <c:formatCode>0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58.333333333333336</c:v>
                </c:pt>
                <c:pt idx="3">
                  <c:v>37.5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Sheet4!$Q$41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Sheet4!$R$37:$V$37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Sheet4!$R$41:$V$41</c:f>
              <c:numCache>
                <c:formatCode>0</c:formatCode>
                <c:ptCount val="5"/>
                <c:pt idx="0">
                  <c:v>25</c:v>
                </c:pt>
                <c:pt idx="1">
                  <c:v>18.75</c:v>
                </c:pt>
                <c:pt idx="2">
                  <c:v>8.3333333333333321</c:v>
                </c:pt>
                <c:pt idx="3">
                  <c:v>31.25</c:v>
                </c:pt>
                <c:pt idx="4">
                  <c:v>6.25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2482176"/>
        <c:axId val="282483712"/>
        <c:axId val="0"/>
      </c:bar3DChart>
      <c:catAx>
        <c:axId val="282482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2483712"/>
        <c:crosses val="autoZero"/>
        <c:auto val="1"/>
        <c:lblAlgn val="ctr"/>
        <c:lblOffset val="100"/>
        <c:noMultiLvlLbl val="0"/>
      </c:catAx>
      <c:valAx>
        <c:axId val="2824837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24821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Sheet4!$Y$38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Sheet4!$Z$37:$AD$37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Sheet4!$Z$38:$AD$38</c:f>
              <c:numCache>
                <c:formatCode>0</c:formatCode>
                <c:ptCount val="5"/>
                <c:pt idx="0">
                  <c:v>8.3333333333333321</c:v>
                </c:pt>
                <c:pt idx="1">
                  <c:v>0</c:v>
                </c:pt>
                <c:pt idx="2">
                  <c:v>11.111111111111105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Sheet4!$Y$39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Sheet4!$Z$37:$AD$37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Sheet4!$Z$39:$AD$39</c:f>
              <c:numCache>
                <c:formatCode>0</c:formatCode>
                <c:ptCount val="5"/>
                <c:pt idx="0">
                  <c:v>16.666666666666664</c:v>
                </c:pt>
                <c:pt idx="1">
                  <c:v>41.666666666666643</c:v>
                </c:pt>
                <c:pt idx="2">
                  <c:v>22.222222222222207</c:v>
                </c:pt>
                <c:pt idx="3">
                  <c:v>33.333333333333329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Sheet4!$Y$40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Sheet4!$Z$37:$AD$37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Sheet4!$Z$40:$AD$40</c:f>
              <c:numCache>
                <c:formatCode>0</c:formatCode>
                <c:ptCount val="5"/>
                <c:pt idx="0">
                  <c:v>25</c:v>
                </c:pt>
                <c:pt idx="1">
                  <c:v>41.666666666666643</c:v>
                </c:pt>
                <c:pt idx="2">
                  <c:v>44.444444444444414</c:v>
                </c:pt>
                <c:pt idx="3">
                  <c:v>33.333333333333329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Sheet4!$Y$41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Sheet4!$Z$37:$AD$37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Sheet4!$Z$41:$AD$41</c:f>
              <c:numCache>
                <c:formatCode>0</c:formatCode>
                <c:ptCount val="5"/>
                <c:pt idx="0">
                  <c:v>50</c:v>
                </c:pt>
                <c:pt idx="1">
                  <c:v>16.666666666666664</c:v>
                </c:pt>
                <c:pt idx="2">
                  <c:v>22.222222222222207</c:v>
                </c:pt>
                <c:pt idx="3">
                  <c:v>33.333333333333329</c:v>
                </c:pt>
                <c:pt idx="4">
                  <c:v>16.666666666666664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2512384"/>
        <c:axId val="282657536"/>
        <c:axId val="0"/>
      </c:bar3DChart>
      <c:catAx>
        <c:axId val="28251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82657536"/>
        <c:crosses val="autoZero"/>
        <c:auto val="1"/>
        <c:lblAlgn val="ctr"/>
        <c:lblOffset val="100"/>
        <c:noMultiLvlLbl val="0"/>
      </c:catAx>
      <c:valAx>
        <c:axId val="2826575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2512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Infrastructure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Sheet1!$C$17:$C$20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Sheet1!$E$17:$E$20</c:f>
              <c:numCache>
                <c:formatCode>0</c:formatCode>
                <c:ptCount val="4"/>
                <c:pt idx="0">
                  <c:v>36.190476190476211</c:v>
                </c:pt>
                <c:pt idx="1">
                  <c:v>38.095238095238102</c:v>
                </c:pt>
                <c:pt idx="2">
                  <c:v>17.142857142857157</c:v>
                </c:pt>
                <c:pt idx="3">
                  <c:v>8.5714285714285712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Sheet1!$Q$21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Sheet1!$L$22:$L$26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Sheet1!$Q$22:$Q$26</c:f>
              <c:numCache>
                <c:formatCode>0</c:formatCode>
                <c:ptCount val="5"/>
                <c:pt idx="0" formatCode="General">
                  <c:v>100</c:v>
                </c:pt>
                <c:pt idx="1">
                  <c:v>86.666666666666671</c:v>
                </c:pt>
                <c:pt idx="2">
                  <c:v>73.333333333333272</c:v>
                </c:pt>
                <c:pt idx="3">
                  <c:v>46.666666666666607</c:v>
                </c:pt>
                <c:pt idx="4">
                  <c:v>53.333333333333336</c:v>
                </c:pt>
              </c:numCache>
            </c:numRef>
          </c:val>
        </c:ser>
        <c:ser>
          <c:idx val="1"/>
          <c:order val="1"/>
          <c:tx>
            <c:strRef>
              <c:f>Sheet1!$R$21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Sheet1!$L$22:$L$26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Sheet1!$R$22:$R$26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13.333333333333334</c:v>
                </c:pt>
                <c:pt idx="2">
                  <c:v>26.666666666666668</c:v>
                </c:pt>
                <c:pt idx="3">
                  <c:v>53.333333333333336</c:v>
                </c:pt>
                <c:pt idx="4">
                  <c:v>46.666666666666607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2715264"/>
        <c:axId val="282716800"/>
        <c:axId val="0"/>
      </c:bar3DChart>
      <c:catAx>
        <c:axId val="28271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82716800"/>
        <c:crosses val="autoZero"/>
        <c:auto val="1"/>
        <c:lblAlgn val="ctr"/>
        <c:lblOffset val="100"/>
        <c:noMultiLvlLbl val="0"/>
      </c:catAx>
      <c:valAx>
        <c:axId val="282716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2715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D22C-A71F-46B4-874B-D0E4A532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2018-07-05T08:01:00Z</dcterms:created>
  <dcterms:modified xsi:type="dcterms:W3CDTF">2018-10-16T12:27:00Z</dcterms:modified>
</cp:coreProperties>
</file>