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D46887">
        <w:rPr>
          <w:rFonts w:ascii="Times New Roman" w:hAnsi="Times New Roman" w:cs="Times New Roman"/>
          <w:b/>
          <w:sz w:val="24"/>
          <w:szCs w:val="24"/>
        </w:rPr>
        <w:t>Semester- I</w:t>
      </w:r>
      <w:r w:rsidR="0023065C">
        <w:rPr>
          <w:rFonts w:ascii="Times New Roman" w:hAnsi="Times New Roman" w:cs="Times New Roman"/>
          <w:b/>
          <w:sz w:val="24"/>
          <w:szCs w:val="24"/>
        </w:rPr>
        <w:t xml:space="preserve">, M.A. </w:t>
      </w:r>
      <w:r w:rsidR="004A490E">
        <w:rPr>
          <w:rFonts w:ascii="Times New Roman" w:hAnsi="Times New Roman" w:cs="Times New Roman"/>
          <w:b/>
          <w:sz w:val="24"/>
          <w:szCs w:val="24"/>
        </w:rPr>
        <w:t>Journalism</w:t>
      </w:r>
      <w:r w:rsidR="0023065C">
        <w:rPr>
          <w:rFonts w:ascii="Times New Roman" w:hAnsi="Times New Roman" w:cs="Times New Roman"/>
          <w:b/>
          <w:sz w:val="24"/>
          <w:szCs w:val="24"/>
        </w:rPr>
        <w:t>, 2016-2017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4A490E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4A490E" w:rsidRDefault="004A490E" w:rsidP="004A490E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D1208" w:rsidRDefault="0033095A" w:rsidP="004A490E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910C30" w:rsidRDefault="0033095A" w:rsidP="00AF13DF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933" w:type="dxa"/>
        <w:jc w:val="center"/>
        <w:tblLayout w:type="fixed"/>
        <w:tblLook w:val="04A0"/>
      </w:tblPr>
      <w:tblGrid>
        <w:gridCol w:w="1314"/>
        <w:gridCol w:w="1324"/>
        <w:gridCol w:w="1324"/>
        <w:gridCol w:w="1324"/>
        <w:gridCol w:w="1323"/>
        <w:gridCol w:w="1324"/>
      </w:tblGrid>
      <w:tr w:rsidR="00AF13DF" w:rsidRPr="00AF13DF" w:rsidTr="00AB284C">
        <w:trPr>
          <w:trHeight w:val="298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AF13DF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AF13DF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AF13DF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F13DF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AF13DF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3DF" w:rsidRPr="00AF13DF" w:rsidRDefault="00AF13DF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DF" w:rsidRDefault="00AF13DF" w:rsidP="00AF1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</w:tbl>
    <w:p w:rsidR="00910C30" w:rsidRDefault="00971EC2" w:rsidP="00AF13D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  <w:r w:rsidR="00AF13D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980" w:type="dxa"/>
        <w:jc w:val="center"/>
        <w:tblLayout w:type="fixed"/>
        <w:tblLook w:val="04A0"/>
      </w:tblPr>
      <w:tblGrid>
        <w:gridCol w:w="1321"/>
        <w:gridCol w:w="1332"/>
        <w:gridCol w:w="1332"/>
        <w:gridCol w:w="1332"/>
        <w:gridCol w:w="1331"/>
        <w:gridCol w:w="1332"/>
      </w:tblGrid>
      <w:tr w:rsidR="00AF13DF" w:rsidRPr="00AF13DF" w:rsidTr="00AB284C">
        <w:trPr>
          <w:trHeight w:val="313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AB284C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84C" w:rsidRPr="00AF13DF" w:rsidRDefault="00AB284C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AB284C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84C" w:rsidRPr="00AF13DF" w:rsidRDefault="00AB284C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AB284C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84C" w:rsidRPr="00AF13DF" w:rsidRDefault="00AB284C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AB284C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84C" w:rsidRPr="00AF13DF" w:rsidRDefault="00AB284C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AB284C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4C" w:rsidRPr="00AF13DF" w:rsidRDefault="00AB284C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lastRenderedPageBreak/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4C" w:rsidRDefault="00AB284C" w:rsidP="00AB2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AB284C" w:rsidRDefault="00AB284C" w:rsidP="00AF13DF">
      <w:pPr>
        <w:tabs>
          <w:tab w:val="left" w:pos="2149"/>
        </w:tabs>
        <w:rPr>
          <w:rFonts w:ascii="Times New Roman" w:hAnsi="Times New Roman" w:cs="Times New Roman"/>
          <w:sz w:val="24"/>
          <w:szCs w:val="24"/>
        </w:rPr>
      </w:pPr>
    </w:p>
    <w:p w:rsidR="00AB284C" w:rsidRDefault="00AB284C" w:rsidP="00AB284C">
      <w:pPr>
        <w:tabs>
          <w:tab w:val="left" w:pos="214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31558" cy="1555845"/>
            <wp:effectExtent l="0" t="0" r="12065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E74BA8" w:rsidRDefault="00E74BA8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3095A" w:rsidRDefault="00873F82" w:rsidP="00AB284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AB284C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AB284C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AB284C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44D0A" w:rsidRPr="00AB284C" w:rsidRDefault="00AB284C" w:rsidP="00AB284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AB284C" w:rsidRDefault="00AB284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AB284C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AB284C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AB284C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64CA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AB284C" w:rsidRDefault="00AB284C" w:rsidP="00AB284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F6553">
        <w:rPr>
          <w:rFonts w:ascii="Times New Roman" w:hAnsi="Times New Roman" w:cs="Times New Roman"/>
          <w:sz w:val="24"/>
          <w:szCs w:val="24"/>
        </w:rPr>
        <w:t>SUB</w:t>
      </w:r>
      <w:r w:rsidR="00CE64CA">
        <w:rPr>
          <w:rFonts w:ascii="Times New Roman" w:hAnsi="Times New Roman" w:cs="Times New Roman"/>
          <w:sz w:val="24"/>
          <w:szCs w:val="24"/>
        </w:rPr>
        <w:t>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284C" w:rsidRDefault="00AB284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AB284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AB284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AB284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AB284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AB0E1A" w:rsidRDefault="00AB284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AB284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AB284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AB284C" w:rsidRDefault="00AB284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284C" w:rsidRDefault="00AB284C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AB284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AB284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45%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B284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D27E13" w:rsidRPr="00E74BA8" w:rsidRDefault="00AB284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C132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Analysis of students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980" w:type="dxa"/>
        <w:jc w:val="center"/>
        <w:tblLayout w:type="fixed"/>
        <w:tblLook w:val="04A0"/>
      </w:tblPr>
      <w:tblGrid>
        <w:gridCol w:w="1321"/>
        <w:gridCol w:w="1332"/>
        <w:gridCol w:w="1332"/>
        <w:gridCol w:w="1332"/>
        <w:gridCol w:w="1331"/>
        <w:gridCol w:w="1332"/>
      </w:tblGrid>
      <w:tr w:rsidR="00E74BA8" w:rsidRPr="00AF13DF" w:rsidTr="000E2664">
        <w:trPr>
          <w:trHeight w:val="313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E74BA8" w:rsidRPr="00AF13DF" w:rsidTr="000E2664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E74BA8" w:rsidRPr="00AF13DF" w:rsidTr="000E2664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E74BA8" w:rsidRPr="00AF13DF" w:rsidTr="000E2664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E74BA8" w:rsidRPr="00AF13DF" w:rsidTr="000E2664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E74BA8" w:rsidRPr="00AF13DF" w:rsidTr="000E2664">
        <w:trPr>
          <w:trHeight w:val="16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A8" w:rsidRPr="00AF13DF" w:rsidRDefault="00E74BA8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A8" w:rsidRDefault="00E74B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</w:tr>
    </w:tbl>
    <w:p w:rsidR="00CA3B76" w:rsidRDefault="00CA3B76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980" w:type="dxa"/>
        <w:jc w:val="center"/>
        <w:tblLayout w:type="fixed"/>
        <w:tblLook w:val="04A0"/>
      </w:tblPr>
      <w:tblGrid>
        <w:gridCol w:w="1321"/>
        <w:gridCol w:w="1332"/>
        <w:gridCol w:w="1332"/>
        <w:gridCol w:w="1332"/>
        <w:gridCol w:w="1331"/>
        <w:gridCol w:w="1332"/>
      </w:tblGrid>
      <w:tr w:rsidR="00E74BA8" w:rsidRPr="00AF13DF" w:rsidTr="000E2664">
        <w:trPr>
          <w:trHeight w:val="313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E74BA8" w:rsidRPr="00AF13DF" w:rsidTr="000E2664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E74BA8" w:rsidRPr="00AF13DF" w:rsidTr="000E2664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E74BA8" w:rsidRPr="00AF13DF" w:rsidTr="000E2664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E74BA8" w:rsidRPr="00AF13DF" w:rsidTr="000E2664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E74BA8" w:rsidRPr="00AF13DF" w:rsidTr="000E2664">
        <w:trPr>
          <w:trHeight w:val="16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A8" w:rsidRPr="00AF13DF" w:rsidRDefault="00E74BA8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A8" w:rsidRDefault="00E74BA8" w:rsidP="000E26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A3B76" w:rsidRDefault="00CA3B76" w:rsidP="00CA3B76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90805</wp:posOffset>
            </wp:positionV>
            <wp:extent cx="4953635" cy="1671320"/>
            <wp:effectExtent l="0" t="0" r="18415" b="2413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CA3B76" w:rsidRDefault="00CA3B76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Curriculum Feedback: SUB1</w:t>
      </w:r>
    </w:p>
    <w:p w:rsidR="00E74BA8" w:rsidRDefault="00E74BA8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E74BA8" w:rsidRPr="00B42408" w:rsidRDefault="00E74BA8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E74BA8" w:rsidRPr="00236F1C" w:rsidRDefault="00E74BA8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42408">
        <w:rPr>
          <w:rFonts w:ascii="Times New Roman" w:hAnsi="Times New Roman" w:cs="Times New Roman"/>
          <w:sz w:val="24"/>
          <w:szCs w:val="24"/>
        </w:rPr>
        <w:t>% students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SUB1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Pr="00873F82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SUB2</w:t>
      </w:r>
    </w:p>
    <w:p w:rsidR="00E74BA8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>students have rated course curriculum of SUB2 as Average</w:t>
      </w:r>
    </w:p>
    <w:p w:rsidR="00E74BA8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SUB3</w:t>
      </w:r>
    </w:p>
    <w:p w:rsidR="00E74BA8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>students have rated course curriculum of SUB3 as Average</w:t>
      </w:r>
    </w:p>
    <w:p w:rsidR="00E74BA8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236F1C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4BA8" w:rsidRPr="00873F82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SUB4</w:t>
      </w:r>
    </w:p>
    <w:p w:rsidR="00E74BA8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4BA8">
        <w:rPr>
          <w:rFonts w:ascii="Times New Roman" w:hAnsi="Times New Roman" w:cs="Times New Roman"/>
          <w:sz w:val="24"/>
          <w:szCs w:val="24"/>
        </w:rPr>
        <w:t>% students have rated course curriculum of SUB4 as Average</w:t>
      </w:r>
    </w:p>
    <w:p w:rsidR="00E74BA8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CA3B7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Pr="00076D43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>
        <w:rPr>
          <w:b/>
          <w:noProof/>
          <w:sz w:val="24"/>
          <w:szCs w:val="24"/>
          <w:lang w:val="en-IN" w:eastAsia="en-IN"/>
        </w:rPr>
        <w:t>SUB5</w:t>
      </w:r>
    </w:p>
    <w:p w:rsidR="00CA3B76" w:rsidRDefault="00CA3B76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 students have rated course curriculum of SUB4 as Average</w:t>
      </w:r>
    </w:p>
    <w:p w:rsidR="00CA3B76" w:rsidRDefault="00CA3B76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Pr="0014512C">
        <w:rPr>
          <w:rFonts w:ascii="Times New Roman" w:hAnsi="Times New Roman" w:cs="Times New Roman"/>
          <w:sz w:val="24"/>
          <w:szCs w:val="24"/>
        </w:rPr>
        <w:t>students have</w:t>
      </w:r>
      <w:r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A3B76" w:rsidRPr="00236F1C" w:rsidRDefault="00CA3B76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A3B76" w:rsidRPr="00AB284C" w:rsidRDefault="00CA3B76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A3B76" w:rsidRDefault="00CA3B76" w:rsidP="00CA3B76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93EDD" w:rsidRDefault="00B93EDD" w:rsidP="00E74BA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B76" w:rsidRDefault="00CA3B76" w:rsidP="00E74BA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B76" w:rsidRDefault="00CA3B76" w:rsidP="00E74BA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B76" w:rsidRPr="00D549BA" w:rsidRDefault="00CA3B76" w:rsidP="00E74BA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BA1F58">
        <w:rPr>
          <w:rFonts w:ascii="Times New Roman" w:hAnsi="Times New Roman" w:cs="Times New Roman"/>
          <w:b/>
          <w:sz w:val="24"/>
          <w:szCs w:val="24"/>
        </w:rPr>
        <w:t>IV</w:t>
      </w:r>
      <w:r w:rsidR="00BA1F58" w:rsidRPr="00BA1F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7704" w:type="dxa"/>
        <w:jc w:val="center"/>
        <w:tblLayout w:type="fixed"/>
        <w:tblLook w:val="04A0"/>
      </w:tblPr>
      <w:tblGrid>
        <w:gridCol w:w="1275"/>
        <w:gridCol w:w="1286"/>
        <w:gridCol w:w="1286"/>
        <w:gridCol w:w="1286"/>
        <w:gridCol w:w="1285"/>
        <w:gridCol w:w="1286"/>
      </w:tblGrid>
      <w:tr w:rsidR="00CA3B76" w:rsidRPr="00AF13DF" w:rsidTr="00C80019">
        <w:trPr>
          <w:trHeight w:val="176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CA3B76" w:rsidRPr="00AF13DF" w:rsidTr="00C80019">
        <w:trPr>
          <w:trHeight w:val="9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A3B76" w:rsidRPr="00AF13DF" w:rsidTr="00C80019">
        <w:trPr>
          <w:trHeight w:val="9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CA3B76" w:rsidRPr="00AF13DF" w:rsidTr="00C80019">
        <w:trPr>
          <w:trHeight w:val="9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A3B76" w:rsidRPr="00AF13DF" w:rsidTr="00C80019">
        <w:trPr>
          <w:trHeight w:val="9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CA3B76" w:rsidRPr="00AF13DF" w:rsidTr="00C80019">
        <w:trPr>
          <w:trHeight w:val="9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76" w:rsidRPr="00AF13DF" w:rsidRDefault="00CA3B76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</w:tbl>
    <w:p w:rsidR="00C80019" w:rsidRDefault="00C80019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1F58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8076" w:type="dxa"/>
        <w:jc w:val="center"/>
        <w:tblLayout w:type="fixed"/>
        <w:tblLook w:val="04A0"/>
      </w:tblPr>
      <w:tblGrid>
        <w:gridCol w:w="1337"/>
        <w:gridCol w:w="1348"/>
        <w:gridCol w:w="1348"/>
        <w:gridCol w:w="1348"/>
        <w:gridCol w:w="1347"/>
        <w:gridCol w:w="1348"/>
      </w:tblGrid>
      <w:tr w:rsidR="00CA3B76" w:rsidRPr="00AF13DF" w:rsidTr="00C80019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A3B76" w:rsidRPr="00AF13DF" w:rsidRDefault="00CA3B76" w:rsidP="00C8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CA3B76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A3B76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CA3B76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A3B76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CA3B76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76" w:rsidRPr="00AF13DF" w:rsidRDefault="00CA3B76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76" w:rsidRDefault="00CA3B76" w:rsidP="00C800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</w:tbl>
    <w:p w:rsidR="008B0A6A" w:rsidRDefault="00C80019" w:rsidP="00C80019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63320" cy="1549021"/>
            <wp:effectExtent l="0" t="0" r="23495" b="133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5A" w:rsidRPr="00C80019" w:rsidRDefault="00AB0B42" w:rsidP="00C80019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C800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C800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C800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C800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7F11D2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C800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F11D2" w:rsidRPr="00236F1C" w:rsidRDefault="00C800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Pr="00236F1C" w:rsidRDefault="00C800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good</w:t>
      </w:r>
    </w:p>
    <w:p w:rsidR="007F11D2" w:rsidRDefault="00C800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average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C80019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2557" w:rsidRPr="00236F1C" w:rsidRDefault="00C80019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outstanding</w:t>
      </w:r>
    </w:p>
    <w:p w:rsidR="00F12557" w:rsidRPr="00236F1C" w:rsidRDefault="00C80019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good</w:t>
      </w:r>
    </w:p>
    <w:p w:rsidR="00F12557" w:rsidRDefault="00C80019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C3547" w:rsidRPr="00236F1C" w:rsidRDefault="00C80019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C3547">
        <w:rPr>
          <w:rFonts w:ascii="Times New Roman" w:hAnsi="Times New Roman" w:cs="Times New Roman"/>
          <w:sz w:val="24"/>
          <w:szCs w:val="24"/>
        </w:rPr>
        <w:t>Sub</w:t>
      </w:r>
      <w:r w:rsidR="006831EE">
        <w:rPr>
          <w:rFonts w:ascii="Times New Roman" w:hAnsi="Times New Roman" w:cs="Times New Roman"/>
          <w:sz w:val="24"/>
          <w:szCs w:val="24"/>
        </w:rPr>
        <w:t>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C3547" w:rsidRPr="00236F1C" w:rsidRDefault="00C80019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outstanding</w:t>
      </w:r>
    </w:p>
    <w:p w:rsidR="009C3547" w:rsidRPr="00236F1C" w:rsidRDefault="00C80019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good</w:t>
      </w:r>
    </w:p>
    <w:p w:rsidR="009C3547" w:rsidRDefault="00C80019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average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A0F12" w:rsidRPr="00236F1C" w:rsidRDefault="00C80019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A0F12" w:rsidRPr="00236F1C" w:rsidRDefault="00C80019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outstanding</w:t>
      </w:r>
    </w:p>
    <w:p w:rsidR="004A0F12" w:rsidRPr="00236F1C" w:rsidRDefault="00E67BDD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good</w:t>
      </w:r>
    </w:p>
    <w:p w:rsidR="004A0F12" w:rsidRDefault="0019482F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average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A0079D">
        <w:rPr>
          <w:rFonts w:ascii="Times New Roman" w:hAnsi="Times New Roman" w:cs="Times New Roman"/>
          <w:sz w:val="24"/>
          <w:szCs w:val="24"/>
        </w:rPr>
        <w:t xml:space="preserve"> and </w:t>
      </w:r>
      <w:r w:rsidR="00A0079D" w:rsidRPr="00C114ED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4033" w:type="dxa"/>
        <w:jc w:val="center"/>
        <w:tblLayout w:type="fixed"/>
        <w:tblLook w:val="04A0"/>
      </w:tblPr>
      <w:tblGrid>
        <w:gridCol w:w="1337"/>
        <w:gridCol w:w="1348"/>
        <w:gridCol w:w="1348"/>
      </w:tblGrid>
      <w:tr w:rsidR="00A736CA" w:rsidRPr="00AF13DF" w:rsidTr="00A736CA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736CA" w:rsidRPr="00AF13DF" w:rsidRDefault="00A736CA" w:rsidP="0070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70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A7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%</w:t>
            </w:r>
          </w:p>
        </w:tc>
      </w:tr>
      <w:tr w:rsidR="00A736CA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6CA" w:rsidRPr="00AF13DF" w:rsidRDefault="00A736CA" w:rsidP="0070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6CA" w:rsidRDefault="00A736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6CA" w:rsidRDefault="00A736CA" w:rsidP="00A736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736CA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6CA" w:rsidRPr="00AF13DF" w:rsidRDefault="00A736CA" w:rsidP="0070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6CA" w:rsidRDefault="00A736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6CA" w:rsidRDefault="00A736CA" w:rsidP="00A736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A736CA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6CA" w:rsidRPr="00AF13DF" w:rsidRDefault="00A736CA" w:rsidP="0070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6CA" w:rsidRDefault="00A736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6CA" w:rsidRDefault="00A736CA" w:rsidP="00A736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A736CA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6CA" w:rsidRPr="00AF13DF" w:rsidRDefault="00A736CA" w:rsidP="0070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6CA" w:rsidRDefault="00A736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6CA" w:rsidRDefault="00A736CA" w:rsidP="00A736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A736CA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CA" w:rsidRPr="00AF13DF" w:rsidRDefault="00A736CA" w:rsidP="00705AF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CA" w:rsidRDefault="00A736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CA" w:rsidRDefault="00A736CA" w:rsidP="00A736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EB2" w:rsidRDefault="00A0079D" w:rsidP="00A0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01654" cy="1494430"/>
            <wp:effectExtent l="0" t="0" r="22860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5DAE" w:rsidRDefault="004128D2" w:rsidP="00A97B2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A97B22">
        <w:rPr>
          <w:rFonts w:ascii="Times New Roman" w:hAnsi="Times New Roman" w:cs="Times New Roman"/>
          <w:sz w:val="24"/>
          <w:szCs w:val="24"/>
        </w:rPr>
        <w:t>Overall</w:t>
      </w:r>
    </w:p>
    <w:p w:rsidR="00A0079D" w:rsidRPr="00236F1C" w:rsidRDefault="00A0079D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0079D" w:rsidRPr="00236F1C" w:rsidRDefault="00A0079D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A0079D" w:rsidRPr="00236F1C" w:rsidRDefault="00A0079D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A0079D" w:rsidRDefault="00A0079D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A0079D" w:rsidRDefault="00A0079D" w:rsidP="00A0079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64A9" w:rsidRDefault="005D64A9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97A64" w:rsidRDefault="00197A64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E6E16" w:rsidP="00197A64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F745F5">
        <w:rPr>
          <w:rFonts w:ascii="Times New Roman" w:hAnsi="Times New Roman" w:cs="Times New Roman"/>
          <w:sz w:val="24"/>
          <w:szCs w:val="24"/>
        </w:rPr>
        <w:t xml:space="preserve">and </w:t>
      </w:r>
      <w:r w:rsidR="00F745F5" w:rsidRPr="008C298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Percentage 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  <w:r w:rsidR="00C9624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br/>
      </w:r>
    </w:p>
    <w:tbl>
      <w:tblPr>
        <w:tblW w:w="4033" w:type="dxa"/>
        <w:jc w:val="center"/>
        <w:tblLayout w:type="fixed"/>
        <w:tblLook w:val="04A0"/>
      </w:tblPr>
      <w:tblGrid>
        <w:gridCol w:w="1337"/>
        <w:gridCol w:w="1348"/>
        <w:gridCol w:w="1348"/>
      </w:tblGrid>
      <w:tr w:rsidR="00F745F5" w:rsidRPr="00AF13DF" w:rsidTr="00603187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745F5" w:rsidRPr="00AF13DF" w:rsidRDefault="00F745F5" w:rsidP="00E3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F745F5" w:rsidRDefault="00F745F5" w:rsidP="00F745F5">
            <w:pPr>
              <w:jc w:val="center"/>
              <w:rPr>
                <w:rFonts w:ascii="Calibri" w:hAnsi="Calibri"/>
                <w:color w:val="000000"/>
              </w:rPr>
            </w:pPr>
            <w:r w:rsidRPr="00F745F5">
              <w:rPr>
                <w:rFonts w:ascii="Calibri" w:hAnsi="Calibri"/>
                <w:b/>
                <w:color w:val="000000"/>
              </w:rPr>
              <w:t>Fqi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F745F5" w:rsidRPr="00F745F5" w:rsidRDefault="00F745F5" w:rsidP="00F745F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745F5">
              <w:rPr>
                <w:rFonts w:ascii="Calibri" w:hAnsi="Calibri"/>
                <w:b/>
                <w:color w:val="000000"/>
              </w:rPr>
              <w:t>%</w:t>
            </w:r>
          </w:p>
        </w:tc>
      </w:tr>
      <w:tr w:rsidR="00F745F5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5F5" w:rsidRPr="00C9624A" w:rsidRDefault="00F745F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5F5" w:rsidRDefault="00F745F5" w:rsidP="00F745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5F5" w:rsidRDefault="00F745F5" w:rsidP="00F745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F745F5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5F5" w:rsidRPr="00C9624A" w:rsidRDefault="00F745F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5F5" w:rsidRDefault="00F745F5" w:rsidP="00F745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5F5" w:rsidRDefault="00F745F5" w:rsidP="00F745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745F5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5F5" w:rsidRPr="00C9624A" w:rsidRDefault="00F745F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5F5" w:rsidRDefault="00F745F5" w:rsidP="00F745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5F5" w:rsidRDefault="00F745F5" w:rsidP="00F745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15CA1" w:rsidRDefault="00C15CA1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774" w:rsidRDefault="00CD133F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4E9">
        <w:rPr>
          <w:rFonts w:ascii="Times New Roman" w:hAnsi="Times New Roman" w:cs="Times New Roman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6A5774">
        <w:rPr>
          <w:rFonts w:ascii="Times New Roman" w:hAnsi="Times New Roman" w:cs="Times New Roman"/>
          <w:sz w:val="24"/>
          <w:szCs w:val="24"/>
        </w:rPr>
        <w:t>Overal</w:t>
      </w:r>
    </w:p>
    <w:p w:rsidR="006A5774" w:rsidRDefault="006A5774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91088" cy="1666875"/>
            <wp:effectExtent l="0" t="0" r="2413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5774" w:rsidRDefault="006A5774" w:rsidP="006A5774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6A5774" w:rsidRPr="006A5774" w:rsidRDefault="006A5774" w:rsidP="006A57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 classes in soft skill and personality development</w:t>
      </w:r>
    </w:p>
    <w:p w:rsidR="006A5774" w:rsidRDefault="006A5774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Analysis of feedbacks of students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of about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criterion VI, VII, VIII, IX and X</w:t>
      </w: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In part VI, VII, VIII, IX and X the students have to give feedback as yes or no of single question  </w:t>
      </w:r>
    </w:p>
    <w:p w:rsidR="0033095A" w:rsidRPr="00A66BBF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The summary of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student’s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/>
      </w:tblPr>
      <w:tblGrid>
        <w:gridCol w:w="1136"/>
        <w:gridCol w:w="880"/>
        <w:gridCol w:w="960"/>
      </w:tblGrid>
      <w:tr w:rsidR="009F10F5" w:rsidRPr="009F10F5" w:rsidTr="009F10F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C15CA1" w:rsidRPr="009F10F5" w:rsidTr="00C15CA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A1" w:rsidRPr="009F10F5" w:rsidRDefault="00C15CA1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CA1" w:rsidRDefault="00C15CA1" w:rsidP="00C15C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CA1" w:rsidRDefault="00C15CA1" w:rsidP="00C15C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15CA1" w:rsidRPr="009F10F5" w:rsidTr="00C15CA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A1" w:rsidRPr="009F10F5" w:rsidRDefault="00C15CA1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CA1" w:rsidRDefault="00C15CA1" w:rsidP="00C15C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CA1" w:rsidRDefault="00C15CA1" w:rsidP="00C15C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15CA1" w:rsidRPr="009F10F5" w:rsidTr="00C15CA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A1" w:rsidRPr="009F10F5" w:rsidRDefault="00C15CA1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CA1" w:rsidRDefault="00C15CA1" w:rsidP="00C15C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CA1" w:rsidRDefault="00C15CA1" w:rsidP="00C15C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15CA1" w:rsidRPr="009F10F5" w:rsidTr="00C15CA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A1" w:rsidRPr="009F10F5" w:rsidRDefault="00C15CA1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CA1" w:rsidRDefault="00C15CA1" w:rsidP="00C15C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CA1" w:rsidRDefault="00C15CA1" w:rsidP="00C15C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15CA1" w:rsidRPr="009F10F5" w:rsidTr="00C15CA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A1" w:rsidRPr="009F10F5" w:rsidRDefault="00C15CA1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CA1" w:rsidRDefault="00C15CA1" w:rsidP="00C15C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CA1" w:rsidRDefault="00C15CA1" w:rsidP="00C15C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noProof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C15CA1" w:rsidP="00C15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44955" cy="1801504"/>
            <wp:effectExtent l="0" t="0" r="13335" b="273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095A" w:rsidRDefault="00C15CA1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C15CA1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C15CA1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100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havemore industrial/ field visits.</w:t>
      </w:r>
    </w:p>
    <w:p w:rsidR="0033095A" w:rsidRDefault="00C15CA1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finds a positive change in department activities in this semester.</w:t>
      </w:r>
    </w:p>
    <w:p w:rsidR="0033095A" w:rsidRPr="000910DE" w:rsidRDefault="00C15CA1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A9" w:rsidRDefault="000C01A9" w:rsidP="00C80019">
      <w:pPr>
        <w:spacing w:after="0" w:line="240" w:lineRule="auto"/>
      </w:pPr>
      <w:r>
        <w:separator/>
      </w:r>
    </w:p>
  </w:endnote>
  <w:endnote w:type="continuationSeparator" w:id="1">
    <w:p w:rsidR="000C01A9" w:rsidRDefault="000C01A9" w:rsidP="00C8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A9" w:rsidRDefault="000C01A9" w:rsidP="00C80019">
      <w:pPr>
        <w:spacing w:after="0" w:line="240" w:lineRule="auto"/>
      </w:pPr>
      <w:r>
        <w:separator/>
      </w:r>
    </w:p>
  </w:footnote>
  <w:footnote w:type="continuationSeparator" w:id="1">
    <w:p w:rsidR="000C01A9" w:rsidRDefault="000C01A9" w:rsidP="00C8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5202A"/>
    <w:rsid w:val="00056AC0"/>
    <w:rsid w:val="00066B0A"/>
    <w:rsid w:val="00076D43"/>
    <w:rsid w:val="000C01A9"/>
    <w:rsid w:val="000C6516"/>
    <w:rsid w:val="000D2029"/>
    <w:rsid w:val="000E05D4"/>
    <w:rsid w:val="000E2664"/>
    <w:rsid w:val="000E4B90"/>
    <w:rsid w:val="000F3F64"/>
    <w:rsid w:val="00110CCE"/>
    <w:rsid w:val="00121942"/>
    <w:rsid w:val="001319E4"/>
    <w:rsid w:val="0014512C"/>
    <w:rsid w:val="00176203"/>
    <w:rsid w:val="00183C4C"/>
    <w:rsid w:val="0019482F"/>
    <w:rsid w:val="00197A64"/>
    <w:rsid w:val="001A2DA3"/>
    <w:rsid w:val="001C132E"/>
    <w:rsid w:val="001C2BFD"/>
    <w:rsid w:val="001D578C"/>
    <w:rsid w:val="00203AC7"/>
    <w:rsid w:val="0023065C"/>
    <w:rsid w:val="00230BB0"/>
    <w:rsid w:val="00251366"/>
    <w:rsid w:val="00253B1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F6BDD"/>
    <w:rsid w:val="00302742"/>
    <w:rsid w:val="00304344"/>
    <w:rsid w:val="003116F0"/>
    <w:rsid w:val="003228F0"/>
    <w:rsid w:val="0033095A"/>
    <w:rsid w:val="00371C10"/>
    <w:rsid w:val="00380600"/>
    <w:rsid w:val="00395019"/>
    <w:rsid w:val="00396CF2"/>
    <w:rsid w:val="003B5855"/>
    <w:rsid w:val="003C34AC"/>
    <w:rsid w:val="003D538A"/>
    <w:rsid w:val="004128D2"/>
    <w:rsid w:val="004146AC"/>
    <w:rsid w:val="004219E2"/>
    <w:rsid w:val="00447BF3"/>
    <w:rsid w:val="004556AB"/>
    <w:rsid w:val="00464FCE"/>
    <w:rsid w:val="00495E01"/>
    <w:rsid w:val="00496D52"/>
    <w:rsid w:val="004A0F12"/>
    <w:rsid w:val="004A2BC8"/>
    <w:rsid w:val="004A306F"/>
    <w:rsid w:val="004A490E"/>
    <w:rsid w:val="004C7D35"/>
    <w:rsid w:val="004F020B"/>
    <w:rsid w:val="00505DC8"/>
    <w:rsid w:val="005062A4"/>
    <w:rsid w:val="0052507C"/>
    <w:rsid w:val="00542312"/>
    <w:rsid w:val="00581B19"/>
    <w:rsid w:val="005A79B8"/>
    <w:rsid w:val="005B41B7"/>
    <w:rsid w:val="005C360D"/>
    <w:rsid w:val="005C538C"/>
    <w:rsid w:val="005D1DB4"/>
    <w:rsid w:val="005D4CC0"/>
    <w:rsid w:val="005D64A9"/>
    <w:rsid w:val="005F4E2D"/>
    <w:rsid w:val="00626B2E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A5774"/>
    <w:rsid w:val="006C3D6F"/>
    <w:rsid w:val="006D036E"/>
    <w:rsid w:val="0071566C"/>
    <w:rsid w:val="007274DF"/>
    <w:rsid w:val="00743463"/>
    <w:rsid w:val="00777011"/>
    <w:rsid w:val="0078220C"/>
    <w:rsid w:val="007879C1"/>
    <w:rsid w:val="007A2961"/>
    <w:rsid w:val="007B05EA"/>
    <w:rsid w:val="007B06BC"/>
    <w:rsid w:val="007C2B5B"/>
    <w:rsid w:val="007C608D"/>
    <w:rsid w:val="007F11D2"/>
    <w:rsid w:val="008141C0"/>
    <w:rsid w:val="00873F82"/>
    <w:rsid w:val="008B0A6A"/>
    <w:rsid w:val="008B2FE5"/>
    <w:rsid w:val="008C2989"/>
    <w:rsid w:val="008E1DF4"/>
    <w:rsid w:val="008F193C"/>
    <w:rsid w:val="008F51BA"/>
    <w:rsid w:val="00910C30"/>
    <w:rsid w:val="00913EDD"/>
    <w:rsid w:val="009361BD"/>
    <w:rsid w:val="009402DA"/>
    <w:rsid w:val="00971EC2"/>
    <w:rsid w:val="00975CC1"/>
    <w:rsid w:val="009804CE"/>
    <w:rsid w:val="0099291A"/>
    <w:rsid w:val="009A3AAD"/>
    <w:rsid w:val="009C3547"/>
    <w:rsid w:val="009D09B4"/>
    <w:rsid w:val="009E1D6A"/>
    <w:rsid w:val="009F10F5"/>
    <w:rsid w:val="00A0079D"/>
    <w:rsid w:val="00A12BEA"/>
    <w:rsid w:val="00A636E7"/>
    <w:rsid w:val="00A66BBF"/>
    <w:rsid w:val="00A70F00"/>
    <w:rsid w:val="00A736CA"/>
    <w:rsid w:val="00A82345"/>
    <w:rsid w:val="00A9310E"/>
    <w:rsid w:val="00A97467"/>
    <w:rsid w:val="00A97B22"/>
    <w:rsid w:val="00AA313A"/>
    <w:rsid w:val="00AA3250"/>
    <w:rsid w:val="00AA5B33"/>
    <w:rsid w:val="00AB0B42"/>
    <w:rsid w:val="00AB0E1A"/>
    <w:rsid w:val="00AB284C"/>
    <w:rsid w:val="00AC0447"/>
    <w:rsid w:val="00AD1094"/>
    <w:rsid w:val="00AE09EB"/>
    <w:rsid w:val="00AE539E"/>
    <w:rsid w:val="00AF13DF"/>
    <w:rsid w:val="00B13025"/>
    <w:rsid w:val="00B400B6"/>
    <w:rsid w:val="00B42408"/>
    <w:rsid w:val="00B43394"/>
    <w:rsid w:val="00B60306"/>
    <w:rsid w:val="00B62622"/>
    <w:rsid w:val="00B65F35"/>
    <w:rsid w:val="00B8628D"/>
    <w:rsid w:val="00B93EDD"/>
    <w:rsid w:val="00BA1F58"/>
    <w:rsid w:val="00BA70BF"/>
    <w:rsid w:val="00BB2366"/>
    <w:rsid w:val="00BB3F3A"/>
    <w:rsid w:val="00C032A1"/>
    <w:rsid w:val="00C04417"/>
    <w:rsid w:val="00C04974"/>
    <w:rsid w:val="00C04FFC"/>
    <w:rsid w:val="00C05F9B"/>
    <w:rsid w:val="00C12CBA"/>
    <w:rsid w:val="00C15CA1"/>
    <w:rsid w:val="00C62D87"/>
    <w:rsid w:val="00C80019"/>
    <w:rsid w:val="00C92A9B"/>
    <w:rsid w:val="00C9624A"/>
    <w:rsid w:val="00CA2440"/>
    <w:rsid w:val="00CA3B76"/>
    <w:rsid w:val="00CD133F"/>
    <w:rsid w:val="00CD5DAE"/>
    <w:rsid w:val="00CE3D74"/>
    <w:rsid w:val="00CE64CA"/>
    <w:rsid w:val="00CF2AA4"/>
    <w:rsid w:val="00CF4EA1"/>
    <w:rsid w:val="00CF6F1F"/>
    <w:rsid w:val="00D10101"/>
    <w:rsid w:val="00D11BFD"/>
    <w:rsid w:val="00D15FA3"/>
    <w:rsid w:val="00D27E13"/>
    <w:rsid w:val="00D366AC"/>
    <w:rsid w:val="00D4111C"/>
    <w:rsid w:val="00D46887"/>
    <w:rsid w:val="00D57EC8"/>
    <w:rsid w:val="00D61FD2"/>
    <w:rsid w:val="00D702A7"/>
    <w:rsid w:val="00D72A3A"/>
    <w:rsid w:val="00D82A74"/>
    <w:rsid w:val="00D944E9"/>
    <w:rsid w:val="00DB59FB"/>
    <w:rsid w:val="00DC5676"/>
    <w:rsid w:val="00DF6076"/>
    <w:rsid w:val="00E14F6E"/>
    <w:rsid w:val="00E34B79"/>
    <w:rsid w:val="00E40FDB"/>
    <w:rsid w:val="00E64D03"/>
    <w:rsid w:val="00E67BDD"/>
    <w:rsid w:val="00E70C58"/>
    <w:rsid w:val="00E74BA8"/>
    <w:rsid w:val="00EA3330"/>
    <w:rsid w:val="00EF6553"/>
    <w:rsid w:val="00F0473F"/>
    <w:rsid w:val="00F06649"/>
    <w:rsid w:val="00F12557"/>
    <w:rsid w:val="00F308EB"/>
    <w:rsid w:val="00F32F46"/>
    <w:rsid w:val="00F44D0A"/>
    <w:rsid w:val="00F50D6C"/>
    <w:rsid w:val="00F51018"/>
    <w:rsid w:val="00F52C7F"/>
    <w:rsid w:val="00F745F5"/>
    <w:rsid w:val="00F76D3F"/>
    <w:rsid w:val="00F80D61"/>
    <w:rsid w:val="00FA44D4"/>
    <w:rsid w:val="00FB5D33"/>
    <w:rsid w:val="00FC714A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Sheet1!$H$4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Sheet1!$I$3:$M$3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Sheet1!$I$4:$M$4</c:f>
              <c:numCache>
                <c:formatCode>0</c:formatCode>
                <c:ptCount val="5"/>
                <c:pt idx="0">
                  <c:v>13.580246913580256</c:v>
                </c:pt>
                <c:pt idx="1">
                  <c:v>5.4945054945054945</c:v>
                </c:pt>
                <c:pt idx="2">
                  <c:v>6.3829787234042552</c:v>
                </c:pt>
                <c:pt idx="3">
                  <c:v>13.636363636363635</c:v>
                </c:pt>
                <c:pt idx="4">
                  <c:v>18.965517241379267</c:v>
                </c:pt>
              </c:numCache>
            </c:numRef>
          </c:val>
        </c:ser>
        <c:ser>
          <c:idx val="1"/>
          <c:order val="1"/>
          <c:tx>
            <c:strRef>
              <c:f>Sheet1!$H$5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Sheet1!$I$3:$M$3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Sheet1!$I$5:$M$5</c:f>
              <c:numCache>
                <c:formatCode>0</c:formatCode>
                <c:ptCount val="5"/>
                <c:pt idx="0">
                  <c:v>58.024691358024697</c:v>
                </c:pt>
                <c:pt idx="1">
                  <c:v>41.758241758241745</c:v>
                </c:pt>
                <c:pt idx="2">
                  <c:v>46.808510638297882</c:v>
                </c:pt>
                <c:pt idx="3">
                  <c:v>42.045454545454547</c:v>
                </c:pt>
                <c:pt idx="4">
                  <c:v>18.965517241379267</c:v>
                </c:pt>
              </c:numCache>
            </c:numRef>
          </c:val>
        </c:ser>
        <c:ser>
          <c:idx val="2"/>
          <c:order val="2"/>
          <c:tx>
            <c:strRef>
              <c:f>Sheet1!$H$6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Sheet1!$I$3:$M$3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Sheet1!$I$6:$M$6</c:f>
              <c:numCache>
                <c:formatCode>0</c:formatCode>
                <c:ptCount val="5"/>
                <c:pt idx="0">
                  <c:v>8.6419753086419657</c:v>
                </c:pt>
                <c:pt idx="1">
                  <c:v>16.483516483516482</c:v>
                </c:pt>
                <c:pt idx="2">
                  <c:v>10.638297872340418</c:v>
                </c:pt>
                <c:pt idx="3">
                  <c:v>9.0909090909090988</c:v>
                </c:pt>
                <c:pt idx="4">
                  <c:v>17.241379310344829</c:v>
                </c:pt>
              </c:numCache>
            </c:numRef>
          </c:val>
        </c:ser>
        <c:ser>
          <c:idx val="3"/>
          <c:order val="3"/>
          <c:tx>
            <c:strRef>
              <c:f>Sheet1!$H$7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Sheet1!$I$3:$M$3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Sheet1!$I$7:$M$7</c:f>
              <c:numCache>
                <c:formatCode>0</c:formatCode>
                <c:ptCount val="5"/>
                <c:pt idx="0">
                  <c:v>19.753086419753085</c:v>
                </c:pt>
                <c:pt idx="1">
                  <c:v>36.263736263736256</c:v>
                </c:pt>
                <c:pt idx="2">
                  <c:v>36.170212765957451</c:v>
                </c:pt>
                <c:pt idx="3">
                  <c:v>35.227272727272755</c:v>
                </c:pt>
                <c:pt idx="4">
                  <c:v>44.827586206896527</c:v>
                </c:pt>
              </c:numCache>
            </c:numRef>
          </c:val>
        </c:ser>
        <c:dLbls>
          <c:showVal val="1"/>
        </c:dLbls>
        <c:shape val="box"/>
        <c:axId val="63269888"/>
        <c:axId val="74163328"/>
        <c:axId val="0"/>
      </c:bar3DChart>
      <c:catAx>
        <c:axId val="63269888"/>
        <c:scaling>
          <c:orientation val="minMax"/>
        </c:scaling>
        <c:axPos val="b"/>
        <c:tickLblPos val="nextTo"/>
        <c:crossAx val="74163328"/>
        <c:crosses val="autoZero"/>
        <c:auto val="1"/>
        <c:lblAlgn val="ctr"/>
        <c:lblOffset val="100"/>
      </c:catAx>
      <c:valAx>
        <c:axId val="74163328"/>
        <c:scaling>
          <c:orientation val="minMax"/>
        </c:scaling>
        <c:axPos val="l"/>
        <c:numFmt formatCode="0" sourceLinked="1"/>
        <c:tickLblPos val="nextTo"/>
        <c:crossAx val="63269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Sheet1!$H$12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Sheet1!$I$11:$M$11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Sheet1!$I$12:$M$12</c:f>
              <c:numCache>
                <c:formatCode>0</c:formatCode>
                <c:ptCount val="5"/>
                <c:pt idx="0">
                  <c:v>16.071428571428573</c:v>
                </c:pt>
                <c:pt idx="1">
                  <c:v>7.0796460176991189</c:v>
                </c:pt>
                <c:pt idx="2">
                  <c:v>5.2173913043478297</c:v>
                </c:pt>
                <c:pt idx="3">
                  <c:v>7.1428571428571415</c:v>
                </c:pt>
                <c:pt idx="4">
                  <c:v>6.6037735849056638</c:v>
                </c:pt>
              </c:numCache>
            </c:numRef>
          </c:val>
        </c:ser>
        <c:ser>
          <c:idx val="1"/>
          <c:order val="1"/>
          <c:tx>
            <c:strRef>
              <c:f>Sheet1!$H$13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Sheet1!$I$11:$M$11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Sheet1!$I$13:$M$13</c:f>
              <c:numCache>
                <c:formatCode>0</c:formatCode>
                <c:ptCount val="5"/>
                <c:pt idx="0">
                  <c:v>54.464285714285708</c:v>
                </c:pt>
                <c:pt idx="1">
                  <c:v>53.097345132743371</c:v>
                </c:pt>
                <c:pt idx="2">
                  <c:v>48.695652173913061</c:v>
                </c:pt>
                <c:pt idx="3">
                  <c:v>48.214285714285715</c:v>
                </c:pt>
                <c:pt idx="4">
                  <c:v>44.339622641509436</c:v>
                </c:pt>
              </c:numCache>
            </c:numRef>
          </c:val>
        </c:ser>
        <c:ser>
          <c:idx val="2"/>
          <c:order val="2"/>
          <c:tx>
            <c:strRef>
              <c:f>Sheet1!$H$14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Sheet1!$I$11:$M$11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Sheet1!$I$14:$M$14</c:f>
              <c:numCache>
                <c:formatCode>0</c:formatCode>
                <c:ptCount val="5"/>
                <c:pt idx="0">
                  <c:v>11.607142857142859</c:v>
                </c:pt>
                <c:pt idx="1">
                  <c:v>7.9646017699115044</c:v>
                </c:pt>
                <c:pt idx="2">
                  <c:v>13.043478260869565</c:v>
                </c:pt>
                <c:pt idx="3">
                  <c:v>8.0357142857142865</c:v>
                </c:pt>
                <c:pt idx="4">
                  <c:v>10.377358490566039</c:v>
                </c:pt>
              </c:numCache>
            </c:numRef>
          </c:val>
        </c:ser>
        <c:ser>
          <c:idx val="3"/>
          <c:order val="3"/>
          <c:tx>
            <c:strRef>
              <c:f>Sheet1!$H$15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Sheet1!$I$11:$M$11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Sheet1!$I$15:$M$15</c:f>
              <c:numCache>
                <c:formatCode>0</c:formatCode>
                <c:ptCount val="5"/>
                <c:pt idx="0">
                  <c:v>17.857142857142843</c:v>
                </c:pt>
                <c:pt idx="1">
                  <c:v>31.858407079646017</c:v>
                </c:pt>
                <c:pt idx="2">
                  <c:v>33.043478260869556</c:v>
                </c:pt>
                <c:pt idx="3">
                  <c:v>36.607142857142854</c:v>
                </c:pt>
                <c:pt idx="4">
                  <c:v>38.679245283018872</c:v>
                </c:pt>
              </c:numCache>
            </c:numRef>
          </c:val>
        </c:ser>
        <c:dLbls>
          <c:showVal val="1"/>
        </c:dLbls>
        <c:shape val="box"/>
        <c:axId val="99901824"/>
        <c:axId val="99903360"/>
        <c:axId val="0"/>
      </c:bar3DChart>
      <c:catAx>
        <c:axId val="99901824"/>
        <c:scaling>
          <c:orientation val="minMax"/>
        </c:scaling>
        <c:axPos val="b"/>
        <c:tickLblPos val="nextTo"/>
        <c:crossAx val="99903360"/>
        <c:crosses val="autoZero"/>
        <c:auto val="1"/>
        <c:lblAlgn val="ctr"/>
        <c:lblOffset val="100"/>
      </c:catAx>
      <c:valAx>
        <c:axId val="99903360"/>
        <c:scaling>
          <c:orientation val="minMax"/>
        </c:scaling>
        <c:axPos val="l"/>
        <c:numFmt formatCode="0" sourceLinked="1"/>
        <c:tickLblPos val="nextTo"/>
        <c:crossAx val="99901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Sheet1!$H$20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Sheet1!$I$19:$M$19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Sheet1!$I$20:$M$20</c:f>
              <c:numCache>
                <c:formatCode>0</c:formatCode>
                <c:ptCount val="5"/>
                <c:pt idx="0">
                  <c:v>19.230769230769202</c:v>
                </c:pt>
                <c:pt idx="1">
                  <c:v>10.714285714285714</c:v>
                </c:pt>
                <c:pt idx="2">
                  <c:v>7.2727272727272725</c:v>
                </c:pt>
                <c:pt idx="3">
                  <c:v>12.280701754385964</c:v>
                </c:pt>
                <c:pt idx="4">
                  <c:v>8.9285714285714164</c:v>
                </c:pt>
              </c:numCache>
            </c:numRef>
          </c:val>
        </c:ser>
        <c:ser>
          <c:idx val="1"/>
          <c:order val="1"/>
          <c:tx>
            <c:strRef>
              <c:f>Sheet1!$H$21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Sheet1!$I$19:$M$19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Sheet1!$I$21:$M$21</c:f>
              <c:numCache>
                <c:formatCode>0</c:formatCode>
                <c:ptCount val="5"/>
                <c:pt idx="0">
                  <c:v>42.30769230769225</c:v>
                </c:pt>
                <c:pt idx="1">
                  <c:v>39.285714285714285</c:v>
                </c:pt>
                <c:pt idx="2">
                  <c:v>45.454545454545404</c:v>
                </c:pt>
                <c:pt idx="3">
                  <c:v>36.842105263157912</c:v>
                </c:pt>
                <c:pt idx="4">
                  <c:v>46.428571428571466</c:v>
                </c:pt>
              </c:numCache>
            </c:numRef>
          </c:val>
        </c:ser>
        <c:ser>
          <c:idx val="2"/>
          <c:order val="2"/>
          <c:tx>
            <c:strRef>
              <c:f>Sheet1!$H$22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Sheet1!$I$19:$M$19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Sheet1!$I$22:$M$22</c:f>
              <c:numCache>
                <c:formatCode>0</c:formatCode>
                <c:ptCount val="5"/>
                <c:pt idx="0">
                  <c:v>17.307692307692307</c:v>
                </c:pt>
                <c:pt idx="1">
                  <c:v>16.071428571428573</c:v>
                </c:pt>
                <c:pt idx="2">
                  <c:v>10.909090909090915</c:v>
                </c:pt>
                <c:pt idx="3">
                  <c:v>19.298245614035086</c:v>
                </c:pt>
                <c:pt idx="4">
                  <c:v>23.214285714285737</c:v>
                </c:pt>
              </c:numCache>
            </c:numRef>
          </c:val>
        </c:ser>
        <c:ser>
          <c:idx val="3"/>
          <c:order val="3"/>
          <c:tx>
            <c:strRef>
              <c:f>Sheet1!$H$23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Sheet1!$I$19:$M$19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Sheet1!$I$23:$M$23</c:f>
              <c:numCache>
                <c:formatCode>0</c:formatCode>
                <c:ptCount val="5"/>
                <c:pt idx="0">
                  <c:v>21.153846153846168</c:v>
                </c:pt>
                <c:pt idx="1">
                  <c:v>33.928571428571466</c:v>
                </c:pt>
                <c:pt idx="2">
                  <c:v>36.363636363636317</c:v>
                </c:pt>
                <c:pt idx="3">
                  <c:v>31.578947368421037</c:v>
                </c:pt>
                <c:pt idx="4">
                  <c:v>21.428571428571427</c:v>
                </c:pt>
              </c:numCache>
            </c:numRef>
          </c:val>
        </c:ser>
        <c:dLbls>
          <c:showVal val="1"/>
        </c:dLbls>
        <c:shape val="box"/>
        <c:axId val="137626368"/>
        <c:axId val="137627904"/>
        <c:axId val="0"/>
      </c:bar3DChart>
      <c:catAx>
        <c:axId val="137626368"/>
        <c:scaling>
          <c:orientation val="minMax"/>
        </c:scaling>
        <c:axPos val="b"/>
        <c:tickLblPos val="nextTo"/>
        <c:crossAx val="137627904"/>
        <c:crosses val="autoZero"/>
        <c:auto val="1"/>
        <c:lblAlgn val="ctr"/>
        <c:lblOffset val="100"/>
      </c:catAx>
      <c:valAx>
        <c:axId val="137627904"/>
        <c:scaling>
          <c:orientation val="minMax"/>
        </c:scaling>
        <c:axPos val="l"/>
        <c:numFmt formatCode="0" sourceLinked="1"/>
        <c:tickLblPos val="nextTo"/>
        <c:crossAx val="137626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Sheet1!$E$28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Sheet1!$D$29:$D$32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Sheet1!$E$29:$E$32</c:f>
              <c:numCache>
                <c:formatCode>0</c:formatCode>
                <c:ptCount val="4"/>
                <c:pt idx="0">
                  <c:v>4.895104895104895</c:v>
                </c:pt>
                <c:pt idx="1">
                  <c:v>41.958041958041946</c:v>
                </c:pt>
                <c:pt idx="2">
                  <c:v>16.783216783216783</c:v>
                </c:pt>
                <c:pt idx="3">
                  <c:v>36.363636363636317</c:v>
                </c:pt>
              </c:numCache>
            </c:numRef>
          </c:val>
        </c:ser>
        <c:dLbls>
          <c:showVal val="1"/>
        </c:dLbls>
        <c:shape val="box"/>
        <c:axId val="145767040"/>
        <c:axId val="145875712"/>
        <c:axId val="0"/>
      </c:bar3DChart>
      <c:catAx>
        <c:axId val="145767040"/>
        <c:scaling>
          <c:orientation val="minMax"/>
        </c:scaling>
        <c:axPos val="b"/>
        <c:tickLblPos val="nextTo"/>
        <c:crossAx val="145875712"/>
        <c:crosses val="autoZero"/>
        <c:auto val="1"/>
        <c:lblAlgn val="ctr"/>
        <c:lblOffset val="100"/>
      </c:catAx>
      <c:valAx>
        <c:axId val="145875712"/>
        <c:scaling>
          <c:orientation val="minMax"/>
        </c:scaling>
        <c:axPos val="l"/>
        <c:numFmt formatCode="0" sourceLinked="1"/>
        <c:tickLblPos val="nextTo"/>
        <c:crossAx val="145767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Sheet1!$A$36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cat>
            <c:strRef>
              <c:f>Sheet1!$B$35:$C$35</c:f>
              <c:strCache>
                <c:ptCount val="2"/>
                <c:pt idx="0">
                  <c:v>Fqi.</c:v>
                </c:pt>
                <c:pt idx="1">
                  <c:v>%</c:v>
                </c:pt>
              </c:strCache>
            </c:strRef>
          </c:cat>
          <c:val>
            <c:numRef>
              <c:f>Sheet1!$B$36:$C$36</c:f>
              <c:numCache>
                <c:formatCode>0</c:formatCode>
                <c:ptCount val="2"/>
                <c:pt idx="0" formatCode="General">
                  <c:v>69</c:v>
                </c:pt>
                <c:pt idx="1">
                  <c:v>98.571428571428527</c:v>
                </c:pt>
              </c:numCache>
            </c:numRef>
          </c:val>
        </c:ser>
        <c:ser>
          <c:idx val="1"/>
          <c:order val="1"/>
          <c:tx>
            <c:strRef>
              <c:f>Sheet1!$A$37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cat>
            <c:strRef>
              <c:f>Sheet1!$B$35:$C$35</c:f>
              <c:strCache>
                <c:ptCount val="2"/>
                <c:pt idx="0">
                  <c:v>Fqi.</c:v>
                </c:pt>
                <c:pt idx="1">
                  <c:v>%</c:v>
                </c:pt>
              </c:strCache>
            </c:strRef>
          </c:cat>
          <c:val>
            <c:numRef>
              <c:f>Sheet1!$B$37:$C$37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170395904"/>
        <c:axId val="170398080"/>
        <c:axId val="0"/>
      </c:bar3DChart>
      <c:catAx>
        <c:axId val="170395904"/>
        <c:scaling>
          <c:orientation val="minMax"/>
        </c:scaling>
        <c:axPos val="b"/>
        <c:tickLblPos val="nextTo"/>
        <c:crossAx val="170398080"/>
        <c:crosses val="autoZero"/>
        <c:auto val="1"/>
        <c:lblAlgn val="ctr"/>
        <c:lblOffset val="100"/>
      </c:catAx>
      <c:valAx>
        <c:axId val="170398080"/>
        <c:scaling>
          <c:orientation val="minMax"/>
        </c:scaling>
        <c:axPos val="l"/>
        <c:numFmt formatCode="General" sourceLinked="1"/>
        <c:tickLblPos val="nextTo"/>
        <c:crossAx val="170395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Sheet1!$F$40</c:f>
              <c:strCache>
                <c:ptCount val="1"/>
                <c:pt idx="0">
                  <c:v>yes%</c:v>
                </c:pt>
              </c:strCache>
            </c:strRef>
          </c:tx>
          <c:dLbls>
            <c:showVal val="1"/>
          </c:dLbls>
          <c:cat>
            <c:strRef>
              <c:f>Sheet1!$E$41:$E$45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Sheet1!$F$41:$F$45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Sheet1!$G$40</c:f>
              <c:strCache>
                <c:ptCount val="1"/>
                <c:pt idx="0">
                  <c:v>no%</c:v>
                </c:pt>
              </c:strCache>
            </c:strRef>
          </c:tx>
          <c:dLbls>
            <c:showVal val="1"/>
          </c:dLbls>
          <c:cat>
            <c:strRef>
              <c:f>Sheet1!$E$41:$E$45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Sheet1!$G$41:$G$45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">
                  <c:v>12.5</c:v>
                </c:pt>
              </c:numCache>
            </c:numRef>
          </c:val>
        </c:ser>
        <c:dLbls>
          <c:showVal val="1"/>
        </c:dLbls>
        <c:shape val="box"/>
        <c:axId val="62367616"/>
        <c:axId val="62369152"/>
        <c:axId val="0"/>
      </c:bar3DChart>
      <c:catAx>
        <c:axId val="62367616"/>
        <c:scaling>
          <c:orientation val="minMax"/>
        </c:scaling>
        <c:axPos val="b"/>
        <c:tickLblPos val="nextTo"/>
        <c:crossAx val="62369152"/>
        <c:crosses val="autoZero"/>
        <c:auto val="1"/>
        <c:lblAlgn val="ctr"/>
        <c:lblOffset val="100"/>
      </c:catAx>
      <c:valAx>
        <c:axId val="62369152"/>
        <c:scaling>
          <c:orientation val="minMax"/>
        </c:scaling>
        <c:axPos val="l"/>
        <c:numFmt formatCode="General" sourceLinked="1"/>
        <c:tickLblPos val="nextTo"/>
        <c:crossAx val="62367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FCBE-F1AC-4DD7-AEBE-1B587F77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3</cp:revision>
  <dcterms:created xsi:type="dcterms:W3CDTF">2018-07-10T05:49:00Z</dcterms:created>
  <dcterms:modified xsi:type="dcterms:W3CDTF">2018-07-13T09:45:00Z</dcterms:modified>
</cp:coreProperties>
</file>