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F7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F71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DF002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F7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035875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035875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03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03587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443E7" w:rsidRPr="00AC0CEA" w:rsidTr="00BF60C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443E7" w:rsidRPr="00AC0CEA" w:rsidTr="00BF60C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443E7" w:rsidRPr="00AC0CEA" w:rsidTr="00BF60C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443E7" w:rsidRPr="00AC0CEA" w:rsidTr="00BF60C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443E7" w:rsidRPr="00AC0CEA" w:rsidTr="00BF60C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443E7" w:rsidRPr="00AC0CEA" w:rsidTr="00BF60C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443E7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443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443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443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443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443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443E7" w:rsidRDefault="00D443E7" w:rsidP="00D44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D443E7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434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D443E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443E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443E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D443E7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D443E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035875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035875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03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03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13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636E7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0636E7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0636E7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0636E7" w:rsidRDefault="000636E7" w:rsidP="00063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B53DCF" w:rsidP="00B53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674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53D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7E2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C3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C3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C3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C3193" w:rsidRDefault="002C3193" w:rsidP="002C3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2C3193" w:rsidP="002C319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1149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C3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892DCE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81A20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89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81A20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81A20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B81A20" w:rsidP="00B81A20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1965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892DCE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892DCE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81A20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892DCE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7B6A4D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B81A20" w:rsidRDefault="00B81A20" w:rsidP="00B81A20">
      <w:pPr>
        <w:pStyle w:val="ListParagraph"/>
        <w:numPr>
          <w:ilvl w:val="0"/>
          <w:numId w:val="16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B81A20" w:rsidRDefault="00B81A20" w:rsidP="00B81A20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 Good</w:t>
      </w:r>
    </w:p>
    <w:p w:rsidR="00B81A20" w:rsidRDefault="00B81A20" w:rsidP="00B81A20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Excellent</w:t>
      </w:r>
    </w:p>
    <w:p w:rsidR="00B81A20" w:rsidRPr="000B0EC8" w:rsidRDefault="00B81A20" w:rsidP="00B81A20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O-Outstanding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B81A20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B81A20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81A20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81A20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81A20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20" w:rsidRDefault="00B81A20" w:rsidP="00B81A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B81A20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05200" cy="234315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B81A20" w:rsidP="00DF0025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DF0025" w:rsidRPr="00DF0025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8E5929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B81A20" w:rsidP="00DF0025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DF0025" w:rsidRPr="00DF0025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8E5929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B81A20" w:rsidP="00DF0025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DF0025" w:rsidRPr="00DF0025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8E5929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B81A20" w:rsidP="00DF0025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DF0025" w:rsidRPr="00DF0025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8E5929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CE3298" w:rsidRDefault="0038105E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</w:t>
      </w:r>
      <w:r w:rsidR="00CE3298" w:rsidRPr="00636C35">
        <w:rPr>
          <w:rFonts w:ascii="Times New Roman" w:hAnsi="Times New Roman" w:cs="Times New Roman"/>
          <w:b/>
          <w:sz w:val="24"/>
          <w:szCs w:val="24"/>
        </w:rPr>
        <w:t>of feedb</w:t>
      </w:r>
      <w:r w:rsidR="00CE3298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1B0B1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4C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0025">
        <w:rPr>
          <w:rFonts w:ascii="Times New Roman" w:hAnsi="Times New Roman" w:cs="Times New Roman"/>
          <w:b/>
          <w:sz w:val="24"/>
          <w:szCs w:val="24"/>
        </w:rPr>
        <w:t>of B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.A. of </w:t>
      </w:r>
      <w:r w:rsidR="001B0B13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B0B13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1B0B13">
        <w:rPr>
          <w:rFonts w:ascii="Times New Roman" w:hAnsi="Times New Roman" w:cs="Times New Roman"/>
          <w:b/>
          <w:sz w:val="24"/>
          <w:szCs w:val="24"/>
        </w:rPr>
        <w:t>7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1B0B13">
        <w:rPr>
          <w:rFonts w:ascii="Times New Roman" w:hAnsi="Times New Roman" w:cs="Times New Roman"/>
          <w:b/>
          <w:sz w:val="24"/>
          <w:szCs w:val="24"/>
        </w:rPr>
        <w:t>8</w:t>
      </w:r>
      <w:r w:rsidR="00CE3298"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CE3298"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CB163F"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CB163F">
              <w:rPr>
                <w:color w:val="000000"/>
                <w:lang w:val="en-IN"/>
              </w:rPr>
              <w:t>(%)</w:t>
            </w:r>
          </w:p>
        </w:tc>
      </w:tr>
      <w:tr w:rsidR="00F01088" w:rsidRPr="00636C35" w:rsidTr="001D369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1088" w:rsidRPr="00636C35" w:rsidTr="001D369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01088" w:rsidRPr="00636C35" w:rsidTr="001D369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01088" w:rsidRPr="00636C35" w:rsidTr="001D369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01088" w:rsidRPr="00636C35" w:rsidTr="001D3690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088" w:rsidRDefault="00F01088" w:rsidP="00F010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F01088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F0108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F0108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F0108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F0108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F01088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1F" w:rsidRDefault="00E64C1F" w:rsidP="009569D7">
      <w:pPr>
        <w:spacing w:after="0" w:line="240" w:lineRule="auto"/>
      </w:pPr>
      <w:r>
        <w:separator/>
      </w:r>
    </w:p>
  </w:endnote>
  <w:endnote w:type="continuationSeparator" w:id="1">
    <w:p w:rsidR="00E64C1F" w:rsidRDefault="00E64C1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1F" w:rsidRDefault="00E64C1F" w:rsidP="009569D7">
      <w:pPr>
        <w:spacing w:after="0" w:line="240" w:lineRule="auto"/>
      </w:pPr>
      <w:r>
        <w:separator/>
      </w:r>
    </w:p>
  </w:footnote>
  <w:footnote w:type="continuationSeparator" w:id="1">
    <w:p w:rsidR="00E64C1F" w:rsidRDefault="00E64C1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060"/>
    <w:multiLevelType w:val="hybridMultilevel"/>
    <w:tmpl w:val="B6E0349E"/>
    <w:lvl w:ilvl="0" w:tplc="DAD6E0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5875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36E7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3193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105E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23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A4D"/>
    <w:rsid w:val="007B6C9A"/>
    <w:rsid w:val="007C1930"/>
    <w:rsid w:val="007C6F91"/>
    <w:rsid w:val="007D1B9E"/>
    <w:rsid w:val="007D55FF"/>
    <w:rsid w:val="007D6A4A"/>
    <w:rsid w:val="007D7749"/>
    <w:rsid w:val="007E269E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92DC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5929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659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DCF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1A20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163F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3E7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0025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64C1F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1088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1BFE"/>
    <w:rsid w:val="00F73388"/>
    <w:rsid w:val="00F74526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Sheet6!$A$133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Sheet6!$B$132:$F$132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Sheet6!$B$133:$F$133</c:f>
              <c:numCache>
                <c:formatCode>0</c:formatCode>
                <c:ptCount val="5"/>
                <c:pt idx="0">
                  <c:v>36.974789915966369</c:v>
                </c:pt>
                <c:pt idx="1">
                  <c:v>21.848739495798313</c:v>
                </c:pt>
                <c:pt idx="2">
                  <c:v>25.210084033613445</c:v>
                </c:pt>
                <c:pt idx="3">
                  <c:v>31.932773109243687</c:v>
                </c:pt>
                <c:pt idx="4">
                  <c:v>25.210084033613445</c:v>
                </c:pt>
              </c:numCache>
            </c:numRef>
          </c:val>
        </c:ser>
        <c:ser>
          <c:idx val="1"/>
          <c:order val="1"/>
          <c:tx>
            <c:strRef>
              <c:f>Sheet6!$A$134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Sheet6!$B$132:$F$132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Sheet6!$B$134:$F$134</c:f>
              <c:numCache>
                <c:formatCode>0</c:formatCode>
                <c:ptCount val="5"/>
                <c:pt idx="0">
                  <c:v>26.890756302520998</c:v>
                </c:pt>
                <c:pt idx="1">
                  <c:v>29.411764705882355</c:v>
                </c:pt>
                <c:pt idx="2">
                  <c:v>24.369747899159655</c:v>
                </c:pt>
                <c:pt idx="3">
                  <c:v>24.369747899159655</c:v>
                </c:pt>
                <c:pt idx="4">
                  <c:v>26.050420168067227</c:v>
                </c:pt>
              </c:numCache>
            </c:numRef>
          </c:val>
        </c:ser>
        <c:ser>
          <c:idx val="2"/>
          <c:order val="2"/>
          <c:tx>
            <c:strRef>
              <c:f>Sheet6!$A$135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Sheet6!$B$132:$F$132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Sheet6!$B$135:$F$135</c:f>
              <c:numCache>
                <c:formatCode>0</c:formatCode>
                <c:ptCount val="5"/>
                <c:pt idx="0">
                  <c:v>23.52941176470588</c:v>
                </c:pt>
                <c:pt idx="1">
                  <c:v>34.453781512605019</c:v>
                </c:pt>
                <c:pt idx="2">
                  <c:v>36.13445378151259</c:v>
                </c:pt>
                <c:pt idx="3">
                  <c:v>27.731092436974787</c:v>
                </c:pt>
                <c:pt idx="4">
                  <c:v>31.092436974789901</c:v>
                </c:pt>
              </c:numCache>
            </c:numRef>
          </c:val>
        </c:ser>
        <c:ser>
          <c:idx val="3"/>
          <c:order val="3"/>
          <c:tx>
            <c:strRef>
              <c:f>Sheet6!$A$136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Sheet6!$B$132:$F$132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Sheet6!$B$136:$F$136</c:f>
              <c:numCache>
                <c:formatCode>0</c:formatCode>
                <c:ptCount val="5"/>
                <c:pt idx="0">
                  <c:v>12.605042016806726</c:v>
                </c:pt>
                <c:pt idx="1">
                  <c:v>14.285714285714286</c:v>
                </c:pt>
                <c:pt idx="2">
                  <c:v>14.285714285714286</c:v>
                </c:pt>
                <c:pt idx="3">
                  <c:v>15.966386554621854</c:v>
                </c:pt>
                <c:pt idx="4">
                  <c:v>17.64705882352942</c:v>
                </c:pt>
              </c:numCache>
            </c:numRef>
          </c:val>
        </c:ser>
        <c:dLbls>
          <c:showVal val="1"/>
        </c:dLbls>
        <c:shape val="box"/>
        <c:axId val="78415744"/>
        <c:axId val="78417280"/>
        <c:axId val="0"/>
      </c:bar3DChart>
      <c:catAx>
        <c:axId val="7841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17280"/>
        <c:crosses val="autoZero"/>
        <c:auto val="1"/>
        <c:lblAlgn val="ctr"/>
        <c:lblOffset val="100"/>
      </c:catAx>
      <c:valAx>
        <c:axId val="7841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Sheet6!$H$156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Sheet6!$I$155:$M$155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Sheet6!$I$156:$M$156</c:f>
              <c:numCache>
                <c:formatCode>0</c:formatCode>
                <c:ptCount val="5"/>
                <c:pt idx="0">
                  <c:v>26.056338028169012</c:v>
                </c:pt>
                <c:pt idx="1">
                  <c:v>20.422535211267594</c:v>
                </c:pt>
                <c:pt idx="2">
                  <c:v>23.239436619718301</c:v>
                </c:pt>
                <c:pt idx="3">
                  <c:v>24.647887323943671</c:v>
                </c:pt>
                <c:pt idx="4">
                  <c:v>25.352112676056329</c:v>
                </c:pt>
              </c:numCache>
            </c:numRef>
          </c:val>
        </c:ser>
        <c:ser>
          <c:idx val="1"/>
          <c:order val="1"/>
          <c:tx>
            <c:strRef>
              <c:f>Sheet6!$H$157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Sheet6!$I$155:$M$155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Sheet6!$I$157:$M$157</c:f>
              <c:numCache>
                <c:formatCode>0</c:formatCode>
                <c:ptCount val="5"/>
                <c:pt idx="0">
                  <c:v>28.169014084507037</c:v>
                </c:pt>
                <c:pt idx="1">
                  <c:v>24.647887323943671</c:v>
                </c:pt>
                <c:pt idx="2">
                  <c:v>20.422535211267594</c:v>
                </c:pt>
                <c:pt idx="3">
                  <c:v>26.760563380281681</c:v>
                </c:pt>
                <c:pt idx="4">
                  <c:v>16.901408450704224</c:v>
                </c:pt>
              </c:numCache>
            </c:numRef>
          </c:val>
        </c:ser>
        <c:ser>
          <c:idx val="2"/>
          <c:order val="2"/>
          <c:tx>
            <c:strRef>
              <c:f>Sheet6!$H$158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Sheet6!$I$155:$M$155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Sheet6!$I$158:$M$158</c:f>
              <c:numCache>
                <c:formatCode>0</c:formatCode>
                <c:ptCount val="5"/>
                <c:pt idx="0">
                  <c:v>27.464788732394361</c:v>
                </c:pt>
                <c:pt idx="1">
                  <c:v>33.802816901408448</c:v>
                </c:pt>
                <c:pt idx="2">
                  <c:v>38.028169014084511</c:v>
                </c:pt>
                <c:pt idx="3">
                  <c:v>24.647887323943671</c:v>
                </c:pt>
                <c:pt idx="4">
                  <c:v>35.211267605633772</c:v>
                </c:pt>
              </c:numCache>
            </c:numRef>
          </c:val>
        </c:ser>
        <c:ser>
          <c:idx val="3"/>
          <c:order val="3"/>
          <c:tx>
            <c:strRef>
              <c:f>Sheet6!$H$159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Sheet6!$I$155:$M$155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Sheet6!$I$159:$M$159</c:f>
              <c:numCache>
                <c:formatCode>0</c:formatCode>
                <c:ptCount val="5"/>
                <c:pt idx="0">
                  <c:v>18.309859154929587</c:v>
                </c:pt>
                <c:pt idx="1">
                  <c:v>21.12676056338028</c:v>
                </c:pt>
                <c:pt idx="2">
                  <c:v>18.309859154929587</c:v>
                </c:pt>
                <c:pt idx="3">
                  <c:v>23.943661971830977</c:v>
                </c:pt>
                <c:pt idx="4">
                  <c:v>22.535211267605636</c:v>
                </c:pt>
              </c:numCache>
            </c:numRef>
          </c:val>
        </c:ser>
        <c:dLbls>
          <c:showVal val="1"/>
        </c:dLbls>
        <c:shape val="box"/>
        <c:axId val="60210560"/>
        <c:axId val="60224640"/>
        <c:axId val="0"/>
      </c:bar3DChart>
      <c:catAx>
        <c:axId val="6021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24640"/>
        <c:crosses val="autoZero"/>
        <c:auto val="1"/>
        <c:lblAlgn val="ctr"/>
        <c:lblOffset val="100"/>
      </c:catAx>
      <c:valAx>
        <c:axId val="6022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1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Sheet6!$O$82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Sheet6!$P$81:$T$81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Sheet6!$P$82:$T$82</c:f>
              <c:numCache>
                <c:formatCode>0</c:formatCode>
                <c:ptCount val="5"/>
                <c:pt idx="0">
                  <c:v>36.764705882352956</c:v>
                </c:pt>
                <c:pt idx="1">
                  <c:v>35.294117647058854</c:v>
                </c:pt>
                <c:pt idx="2">
                  <c:v>27.941176470588228</c:v>
                </c:pt>
                <c:pt idx="3">
                  <c:v>23.52941176470588</c:v>
                </c:pt>
                <c:pt idx="4">
                  <c:v>30.882352941176464</c:v>
                </c:pt>
              </c:numCache>
            </c:numRef>
          </c:val>
        </c:ser>
        <c:ser>
          <c:idx val="1"/>
          <c:order val="1"/>
          <c:tx>
            <c:strRef>
              <c:f>Sheet6!$O$83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Sheet6!$P$81:$T$81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Sheet6!$P$83:$T$83</c:f>
              <c:numCache>
                <c:formatCode>0</c:formatCode>
                <c:ptCount val="5"/>
                <c:pt idx="0">
                  <c:v>29.411764705882355</c:v>
                </c:pt>
                <c:pt idx="1">
                  <c:v>29.411764705882355</c:v>
                </c:pt>
                <c:pt idx="2">
                  <c:v>30.882352941176464</c:v>
                </c:pt>
                <c:pt idx="3">
                  <c:v>38.235294117647044</c:v>
                </c:pt>
                <c:pt idx="4">
                  <c:v>32.352941176470573</c:v>
                </c:pt>
              </c:numCache>
            </c:numRef>
          </c:val>
        </c:ser>
        <c:ser>
          <c:idx val="2"/>
          <c:order val="2"/>
          <c:tx>
            <c:strRef>
              <c:f>Sheet6!$O$84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Sheet6!$P$81:$T$81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Sheet6!$P$84:$T$84</c:f>
              <c:numCache>
                <c:formatCode>0</c:formatCode>
                <c:ptCount val="5"/>
                <c:pt idx="0">
                  <c:v>26.47058823529412</c:v>
                </c:pt>
                <c:pt idx="1">
                  <c:v>29.411764705882355</c:v>
                </c:pt>
                <c:pt idx="2">
                  <c:v>38.235294117647044</c:v>
                </c:pt>
                <c:pt idx="3">
                  <c:v>26.47058823529412</c:v>
                </c:pt>
                <c:pt idx="4">
                  <c:v>32.352941176470573</c:v>
                </c:pt>
              </c:numCache>
            </c:numRef>
          </c:val>
        </c:ser>
        <c:ser>
          <c:idx val="3"/>
          <c:order val="3"/>
          <c:tx>
            <c:strRef>
              <c:f>Sheet6!$O$85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Sheet6!$P$81:$T$81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Sheet6!$P$85:$T$85</c:f>
              <c:numCache>
                <c:formatCode>0</c:formatCode>
                <c:ptCount val="5"/>
                <c:pt idx="0">
                  <c:v>7.352941176470587</c:v>
                </c:pt>
                <c:pt idx="1">
                  <c:v>5.8823529411764683</c:v>
                </c:pt>
                <c:pt idx="2">
                  <c:v>2.9411764705882342</c:v>
                </c:pt>
                <c:pt idx="3">
                  <c:v>11.76470588235294</c:v>
                </c:pt>
                <c:pt idx="4">
                  <c:v>4.4117647058823559</c:v>
                </c:pt>
              </c:numCache>
            </c:numRef>
          </c:val>
        </c:ser>
        <c:dLbls>
          <c:showVal val="1"/>
        </c:dLbls>
        <c:shape val="box"/>
        <c:axId val="64734336"/>
        <c:axId val="64735872"/>
        <c:axId val="0"/>
      </c:bar3DChart>
      <c:catAx>
        <c:axId val="6473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35872"/>
        <c:crosses val="autoZero"/>
        <c:auto val="1"/>
        <c:lblAlgn val="ctr"/>
        <c:lblOffset val="100"/>
      </c:catAx>
      <c:valAx>
        <c:axId val="64735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3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Sheet6!$V$48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Sheet6!$W$47:$AA$47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Sheet6!$W$48:$AA$48</c:f>
              <c:numCache>
                <c:formatCode>0</c:formatCode>
                <c:ptCount val="5"/>
                <c:pt idx="0">
                  <c:v>23.52941176470588</c:v>
                </c:pt>
                <c:pt idx="1">
                  <c:v>26.47058823529412</c:v>
                </c:pt>
                <c:pt idx="2">
                  <c:v>41.17647058823529</c:v>
                </c:pt>
                <c:pt idx="3">
                  <c:v>23.52941176470588</c:v>
                </c:pt>
                <c:pt idx="4">
                  <c:v>57.575757575757564</c:v>
                </c:pt>
              </c:numCache>
            </c:numRef>
          </c:val>
        </c:ser>
        <c:ser>
          <c:idx val="1"/>
          <c:order val="1"/>
          <c:tx>
            <c:strRef>
              <c:f>Sheet6!$V$49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Sheet6!$W$47:$AA$47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Sheet6!$W$49:$AA$49</c:f>
              <c:numCache>
                <c:formatCode>0</c:formatCode>
                <c:ptCount val="5"/>
                <c:pt idx="0">
                  <c:v>14.705882352941179</c:v>
                </c:pt>
                <c:pt idx="1">
                  <c:v>8.8235294117647065</c:v>
                </c:pt>
                <c:pt idx="2">
                  <c:v>14.705882352941179</c:v>
                </c:pt>
                <c:pt idx="3">
                  <c:v>20.588235294117631</c:v>
                </c:pt>
                <c:pt idx="4">
                  <c:v>15.151515151515149</c:v>
                </c:pt>
              </c:numCache>
            </c:numRef>
          </c:val>
        </c:ser>
        <c:ser>
          <c:idx val="2"/>
          <c:order val="2"/>
          <c:tx>
            <c:strRef>
              <c:f>Sheet6!$V$50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Sheet6!$W$47:$AA$47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Sheet6!$W$50:$AA$50</c:f>
              <c:numCache>
                <c:formatCode>0</c:formatCode>
                <c:ptCount val="5"/>
                <c:pt idx="0">
                  <c:v>55.882352941176485</c:v>
                </c:pt>
                <c:pt idx="1">
                  <c:v>58.823529411764696</c:v>
                </c:pt>
                <c:pt idx="2">
                  <c:v>38.235294117647044</c:v>
                </c:pt>
                <c:pt idx="3">
                  <c:v>50</c:v>
                </c:pt>
                <c:pt idx="4">
                  <c:v>21.212121212121197</c:v>
                </c:pt>
              </c:numCache>
            </c:numRef>
          </c:val>
        </c:ser>
        <c:ser>
          <c:idx val="3"/>
          <c:order val="3"/>
          <c:tx>
            <c:strRef>
              <c:f>Sheet6!$V$51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Sheet6!$W$47:$AA$47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Sheet6!$W$51:$AA$51</c:f>
              <c:numCache>
                <c:formatCode>0</c:formatCode>
                <c:ptCount val="5"/>
                <c:pt idx="0">
                  <c:v>5.8823529411764683</c:v>
                </c:pt>
                <c:pt idx="1">
                  <c:v>5.8823529411764683</c:v>
                </c:pt>
                <c:pt idx="2">
                  <c:v>5.8823529411764683</c:v>
                </c:pt>
                <c:pt idx="3">
                  <c:v>5.8823529411764683</c:v>
                </c:pt>
                <c:pt idx="4">
                  <c:v>6.0606060606060606</c:v>
                </c:pt>
              </c:numCache>
            </c:numRef>
          </c:val>
        </c:ser>
        <c:dLbls>
          <c:showVal val="1"/>
        </c:dLbls>
        <c:shape val="box"/>
        <c:axId val="59095680"/>
        <c:axId val="59105664"/>
        <c:axId val="0"/>
      </c:bar3DChart>
      <c:catAx>
        <c:axId val="5909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05664"/>
        <c:crosses val="autoZero"/>
        <c:auto val="1"/>
        <c:lblAlgn val="ctr"/>
        <c:lblOffset val="100"/>
      </c:catAx>
      <c:valAx>
        <c:axId val="5910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9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Sheet6!$AD$59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Sheet6!$AB$60:$AB$63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Sheet6!$AD$60:$AD$63</c:f>
              <c:numCache>
                <c:formatCode>0</c:formatCode>
                <c:ptCount val="4"/>
                <c:pt idx="0">
                  <c:v>32.075471698113205</c:v>
                </c:pt>
                <c:pt idx="1">
                  <c:v>11.320754716981137</c:v>
                </c:pt>
                <c:pt idx="2">
                  <c:v>54.716981132075468</c:v>
                </c:pt>
                <c:pt idx="3">
                  <c:v>1.8867924528301883</c:v>
                </c:pt>
              </c:numCache>
            </c:numRef>
          </c:val>
        </c:ser>
        <c:dLbls>
          <c:showVal val="1"/>
        </c:dLbls>
        <c:shape val="box"/>
        <c:axId val="59925248"/>
        <c:axId val="59926784"/>
        <c:axId val="0"/>
      </c:bar3DChart>
      <c:catAx>
        <c:axId val="59925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26784"/>
        <c:crosses val="autoZero"/>
        <c:auto val="1"/>
        <c:lblAlgn val="ctr"/>
        <c:lblOffset val="100"/>
      </c:catAx>
      <c:valAx>
        <c:axId val="59926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2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Sheet6!$AK$24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Sheet6!$AG$25:$AG$29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Sheet6!$AK$25:$AK$29</c:f>
              <c:numCache>
                <c:formatCode>0</c:formatCode>
                <c:ptCount val="5"/>
                <c:pt idx="0">
                  <c:v>93.75</c:v>
                </c:pt>
                <c:pt idx="1">
                  <c:v>80</c:v>
                </c:pt>
                <c:pt idx="2">
                  <c:v>73.3333333333333</c:v>
                </c:pt>
                <c:pt idx="3">
                  <c:v>60</c:v>
                </c:pt>
                <c:pt idx="4">
                  <c:v>86.666666666666671</c:v>
                </c:pt>
              </c:numCache>
            </c:numRef>
          </c:val>
        </c:ser>
        <c:ser>
          <c:idx val="1"/>
          <c:order val="1"/>
          <c:tx>
            <c:strRef>
              <c:f>Sheet6!$AL$24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Sheet6!$AG$25:$AG$29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Sheet6!$AL$25:$AL$29</c:f>
              <c:numCache>
                <c:formatCode>0</c:formatCode>
                <c:ptCount val="5"/>
                <c:pt idx="0">
                  <c:v>6.25</c:v>
                </c:pt>
                <c:pt idx="1">
                  <c:v>20</c:v>
                </c:pt>
                <c:pt idx="2">
                  <c:v>26.666666666666668</c:v>
                </c:pt>
                <c:pt idx="3">
                  <c:v>40</c:v>
                </c:pt>
                <c:pt idx="4">
                  <c:v>13.333333333333334</c:v>
                </c:pt>
              </c:numCache>
            </c:numRef>
          </c:val>
        </c:ser>
        <c:dLbls>
          <c:showVal val="1"/>
        </c:dLbls>
        <c:shape val="box"/>
        <c:axId val="59960704"/>
        <c:axId val="59962496"/>
        <c:axId val="0"/>
      </c:bar3DChart>
      <c:catAx>
        <c:axId val="5996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62496"/>
        <c:crosses val="autoZero"/>
        <c:auto val="1"/>
        <c:lblAlgn val="ctr"/>
        <c:lblOffset val="100"/>
      </c:catAx>
      <c:valAx>
        <c:axId val="59962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6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AE22-7B61-423B-BCB1-8B9B589C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53</cp:revision>
  <dcterms:created xsi:type="dcterms:W3CDTF">2018-06-30T10:55:00Z</dcterms:created>
  <dcterms:modified xsi:type="dcterms:W3CDTF">2009-12-31T23:49:00Z</dcterms:modified>
</cp:coreProperties>
</file>