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C6" w:rsidRDefault="008500C6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51085C">
        <w:rPr>
          <w:rFonts w:ascii="Times New Roman" w:hAnsi="Times New Roman" w:cs="Times New Roman"/>
          <w:b/>
          <w:sz w:val="24"/>
          <w:szCs w:val="24"/>
        </w:rPr>
        <w:t>Semester- IV, M</w:t>
      </w:r>
      <w:r w:rsidR="00473F9D">
        <w:rPr>
          <w:rFonts w:ascii="Times New Roman" w:hAnsi="Times New Roman" w:cs="Times New Roman"/>
          <w:b/>
          <w:sz w:val="24"/>
          <w:szCs w:val="24"/>
        </w:rPr>
        <w:t>.</w:t>
      </w:r>
      <w:r w:rsidR="0051085C">
        <w:rPr>
          <w:rFonts w:ascii="Times New Roman" w:hAnsi="Times New Roman" w:cs="Times New Roman"/>
          <w:b/>
          <w:sz w:val="24"/>
          <w:szCs w:val="24"/>
        </w:rPr>
        <w:t>A.</w:t>
      </w:r>
      <w:r w:rsidR="00473F9D">
        <w:rPr>
          <w:rFonts w:ascii="Times New Roman" w:hAnsi="Times New Roman" w:cs="Times New Roman"/>
          <w:b/>
          <w:sz w:val="24"/>
          <w:szCs w:val="24"/>
        </w:rPr>
        <w:t>-</w:t>
      </w:r>
      <w:r w:rsidR="0051085C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="00473F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085C">
        <w:rPr>
          <w:rFonts w:ascii="Times New Roman" w:hAnsi="Times New Roman" w:cs="Times New Roman"/>
          <w:b/>
          <w:sz w:val="24"/>
          <w:szCs w:val="24"/>
        </w:rPr>
        <w:t xml:space="preserve"> Geography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9210" w:type="dxa"/>
        <w:tblInd w:w="103" w:type="dxa"/>
        <w:tblLook w:val="04A0" w:firstRow="1" w:lastRow="0" w:firstColumn="1" w:lastColumn="0" w:noHBand="0" w:noVBand="1"/>
      </w:tblPr>
      <w:tblGrid>
        <w:gridCol w:w="1198"/>
        <w:gridCol w:w="895"/>
        <w:gridCol w:w="719"/>
        <w:gridCol w:w="895"/>
        <w:gridCol w:w="688"/>
        <w:gridCol w:w="895"/>
        <w:gridCol w:w="688"/>
        <w:gridCol w:w="895"/>
        <w:gridCol w:w="688"/>
        <w:gridCol w:w="895"/>
        <w:gridCol w:w="754"/>
      </w:tblGrid>
      <w:tr w:rsidR="001A2DA3" w:rsidRPr="001A2DA3" w:rsidTr="001A2DA3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0C6516" w:rsidP="004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51085C" w:rsidP="0047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51085C" w:rsidP="0047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51085C" w:rsidP="0047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51085C" w:rsidP="0047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4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51085C" w:rsidP="0047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5</w:t>
            </w:r>
          </w:p>
        </w:tc>
      </w:tr>
      <w:tr w:rsidR="001A2DA3" w:rsidRPr="001A2DA3" w:rsidTr="001A2DA3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4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47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47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47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47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47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47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47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47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47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47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51085C" w:rsidRPr="001A2DA3" w:rsidTr="001A2DA3">
        <w:trPr>
          <w:trHeight w:val="23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85C" w:rsidRPr="001A2DA3" w:rsidRDefault="0051085C" w:rsidP="0047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1085C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85C" w:rsidRPr="001A2DA3" w:rsidRDefault="0051085C" w:rsidP="0047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1085C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85C" w:rsidRPr="001A2DA3" w:rsidRDefault="0051085C" w:rsidP="0047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1085C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85C" w:rsidRPr="001A2DA3" w:rsidRDefault="0051085C" w:rsidP="0047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51085C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85C" w:rsidRPr="001A2DA3" w:rsidRDefault="0051085C" w:rsidP="0047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C" w:rsidRDefault="0051085C" w:rsidP="00473F9D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51085C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08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53075" cy="2752725"/>
            <wp:effectExtent l="19050" t="0" r="9525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3F82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51085C">
        <w:rPr>
          <w:b/>
          <w:noProof/>
          <w:sz w:val="24"/>
          <w:szCs w:val="24"/>
          <w:lang w:val="en-IN" w:eastAsia="en-IN"/>
        </w:rPr>
        <w:t>Sub 1</w:t>
      </w:r>
    </w:p>
    <w:p w:rsidR="00873F82" w:rsidRPr="00236F1C" w:rsidRDefault="0051085C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 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51085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51085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51085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0546C3">
        <w:rPr>
          <w:b/>
          <w:noProof/>
          <w:sz w:val="24"/>
          <w:szCs w:val="24"/>
          <w:lang w:val="en-IN" w:eastAsia="en-IN"/>
        </w:rPr>
        <w:t>Sub 2</w:t>
      </w:r>
    </w:p>
    <w:p w:rsidR="0033095A" w:rsidRPr="00236F1C" w:rsidRDefault="000546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0546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0546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>
        <w:rPr>
          <w:rFonts w:ascii="Times New Roman" w:hAnsi="Times New Roman" w:cs="Times New Roman"/>
          <w:sz w:val="24"/>
          <w:szCs w:val="24"/>
        </w:rPr>
        <w:t xml:space="preserve"> 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0546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0546C3">
        <w:rPr>
          <w:b/>
          <w:noProof/>
          <w:sz w:val="24"/>
          <w:szCs w:val="24"/>
          <w:lang w:val="en-IN" w:eastAsia="en-IN"/>
        </w:rPr>
        <w:t>Sub 3</w:t>
      </w:r>
    </w:p>
    <w:p w:rsidR="0033095A" w:rsidRPr="00236F1C" w:rsidRDefault="000546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</w:t>
      </w:r>
      <w:r>
        <w:rPr>
          <w:rFonts w:ascii="Times New Roman" w:hAnsi="Times New Roman" w:cs="Times New Roman"/>
          <w:sz w:val="24"/>
          <w:szCs w:val="24"/>
        </w:rPr>
        <w:t>of 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0546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 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0546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0546C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 w:rsidR="000546C3">
        <w:rPr>
          <w:b/>
          <w:noProof/>
          <w:sz w:val="24"/>
          <w:szCs w:val="24"/>
          <w:lang w:val="en-IN" w:eastAsia="en-IN"/>
        </w:rPr>
        <w:t>back: Sub 4</w:t>
      </w:r>
    </w:p>
    <w:p w:rsidR="0033095A" w:rsidRPr="00236F1C" w:rsidRDefault="00FF5FE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F5FE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FF5FE1" w:rsidP="00FF5FE1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lastRenderedPageBreak/>
        <w:t xml:space="preserve">Course Curriculum Feedback: </w:t>
      </w:r>
      <w:r w:rsidR="00FF5FE1">
        <w:rPr>
          <w:b/>
          <w:noProof/>
          <w:sz w:val="24"/>
          <w:szCs w:val="24"/>
          <w:lang w:val="en-IN" w:eastAsia="en-IN"/>
        </w:rPr>
        <w:t>Sub 5</w:t>
      </w:r>
    </w:p>
    <w:p w:rsidR="0033095A" w:rsidRPr="00236F1C" w:rsidRDefault="00054AC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F5FE1">
        <w:rPr>
          <w:rFonts w:ascii="Times New Roman" w:hAnsi="Times New Roman" w:cs="Times New Roman"/>
          <w:sz w:val="24"/>
          <w:szCs w:val="24"/>
        </w:rPr>
        <w:t>have rated course curriculum of 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FF5FE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 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F5FE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 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FF5FE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 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0537F1" w:rsidRDefault="000537F1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0929BF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496D52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9614" w:type="dxa"/>
        <w:tblInd w:w="98" w:type="dxa"/>
        <w:tblLook w:val="04A0" w:firstRow="1" w:lastRow="0" w:firstColumn="1" w:lastColumn="0" w:noHBand="0" w:noVBand="1"/>
      </w:tblPr>
      <w:tblGrid>
        <w:gridCol w:w="874"/>
        <w:gridCol w:w="837"/>
        <w:gridCol w:w="911"/>
        <w:gridCol w:w="932"/>
        <w:gridCol w:w="816"/>
        <w:gridCol w:w="885"/>
        <w:gridCol w:w="863"/>
        <w:gridCol w:w="838"/>
        <w:gridCol w:w="910"/>
        <w:gridCol w:w="933"/>
        <w:gridCol w:w="815"/>
      </w:tblGrid>
      <w:tr w:rsidR="00BA70BF" w:rsidRPr="00BA70BF" w:rsidTr="00BA70BF">
        <w:trPr>
          <w:trHeight w:val="34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7F07E9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7F07E9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2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7F07E9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3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7F07E9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4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7F07E9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5</w:t>
            </w:r>
          </w:p>
        </w:tc>
      </w:tr>
      <w:tr w:rsidR="00BA70BF" w:rsidRPr="00BA70BF" w:rsidTr="00BA70BF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7F07E9" w:rsidRPr="00BA70BF" w:rsidTr="002153EB">
        <w:trPr>
          <w:trHeight w:val="4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7E9" w:rsidRPr="00BA70BF" w:rsidRDefault="007F07E9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7F07E9" w:rsidRPr="00BA70BF" w:rsidTr="002153EB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7E9" w:rsidRPr="00BA70BF" w:rsidRDefault="007F07E9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F07E9" w:rsidRPr="00BA70BF" w:rsidTr="002153EB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7E9" w:rsidRPr="00BA70BF" w:rsidRDefault="007F07E9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7F07E9" w:rsidRPr="00BA70BF" w:rsidTr="002153EB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7E9" w:rsidRPr="00BA70BF" w:rsidRDefault="007F07E9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7F07E9" w:rsidRPr="00BA70BF" w:rsidTr="002153EB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07E9" w:rsidRPr="00BA70BF" w:rsidRDefault="007F07E9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7E9" w:rsidRDefault="007F07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62622" w:rsidRDefault="007F07E9" w:rsidP="007F07E9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7F07E9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D4AA0" w:rsidRPr="001D4AA0" w:rsidRDefault="00466855" w:rsidP="001D4AA0">
      <w:pPr>
        <w:pStyle w:val="ListParagraph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D4AA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 1</w:t>
      </w:r>
    </w:p>
    <w:p w:rsidR="007773FB" w:rsidRPr="007773FB" w:rsidRDefault="00466855" w:rsidP="007773F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8</w:t>
      </w:r>
      <w:r w:rsidR="0033095A" w:rsidRPr="007773F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7773FB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 w:rsidRPr="007773FB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A70BF" w:rsidRPr="007773FB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7773FB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7773FB">
        <w:rPr>
          <w:rFonts w:ascii="Times New Roman" w:hAnsi="Times New Roman" w:cs="Times New Roman"/>
          <w:sz w:val="24"/>
          <w:szCs w:val="24"/>
        </w:rPr>
        <w:t>as outstanding</w:t>
      </w:r>
    </w:p>
    <w:p w:rsidR="00BA70BF" w:rsidRPr="007773FB" w:rsidRDefault="007773FB" w:rsidP="007773F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3FB">
        <w:rPr>
          <w:rFonts w:ascii="Times New Roman" w:hAnsi="Times New Roman" w:cs="Times New Roman"/>
          <w:sz w:val="24"/>
          <w:szCs w:val="24"/>
        </w:rPr>
        <w:t>12</w:t>
      </w:r>
      <w:r w:rsidR="00466855" w:rsidRPr="007773FB">
        <w:rPr>
          <w:rFonts w:ascii="Times New Roman" w:hAnsi="Times New Roman" w:cs="Times New Roman"/>
          <w:sz w:val="24"/>
          <w:szCs w:val="24"/>
        </w:rPr>
        <w:t>%</w:t>
      </w:r>
      <w:r w:rsidR="00BA70BF" w:rsidRPr="007773FB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82929" w:rsidRPr="007773FB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BA70BF" w:rsidRPr="007773FB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7773FB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 w:rsidRPr="007773FB">
        <w:rPr>
          <w:rFonts w:ascii="Times New Roman" w:hAnsi="Times New Roman" w:cs="Times New Roman"/>
          <w:sz w:val="24"/>
          <w:szCs w:val="24"/>
        </w:rPr>
        <w:t xml:space="preserve"> name as Excellent</w:t>
      </w:r>
    </w:p>
    <w:p w:rsidR="0033095A" w:rsidRPr="00D549BA" w:rsidRDefault="0046685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46685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59 %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3FB" w:rsidRDefault="00466855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2</w:t>
      </w:r>
    </w:p>
    <w:p w:rsidR="0033095A" w:rsidRPr="007773FB" w:rsidRDefault="0033095A" w:rsidP="007773FB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46685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46685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46685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46685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773FB" w:rsidRDefault="00466855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 3</w:t>
      </w:r>
    </w:p>
    <w:p w:rsidR="007773FB" w:rsidRDefault="007773F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282929" w:rsidRPr="00D549BA" w:rsidRDefault="001220D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82929" w:rsidRPr="00D549BA" w:rsidRDefault="001220D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282929" w:rsidRPr="00D549BA" w:rsidRDefault="001220D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82929" w:rsidRPr="00D549BA" w:rsidRDefault="001220D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0537F1" w:rsidRDefault="000537F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7773FB" w:rsidRDefault="00466855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 4</w:t>
      </w:r>
      <w:r w:rsidR="0033095A" w:rsidRPr="00D549BA">
        <w:rPr>
          <w:b/>
          <w:noProof/>
          <w:sz w:val="24"/>
          <w:szCs w:val="24"/>
          <w:lang w:val="en-IN" w:eastAsia="en-IN"/>
        </w:rPr>
        <w:t xml:space="preserve"> </w:t>
      </w:r>
    </w:p>
    <w:p w:rsidR="007773FB" w:rsidRPr="007773FB" w:rsidRDefault="007773FB" w:rsidP="007773FB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D549BA" w:rsidRDefault="00A3089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A3089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A3089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A3089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7773FB" w:rsidRDefault="00466855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5</w:t>
      </w:r>
    </w:p>
    <w:p w:rsidR="0033095A" w:rsidRPr="007773FB" w:rsidRDefault="0033095A" w:rsidP="007773FB">
      <w:pPr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164CA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164CA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57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164CA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 w:rsidR="00396CF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164CA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824B44" w:rsidP="00824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4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911A70" w:rsidRDefault="00911A70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911A70" w:rsidRDefault="00911A70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911A70" w:rsidRDefault="00911A70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911A70" w:rsidRDefault="00911A70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0537F1" w:rsidRDefault="000537F1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0537F1" w:rsidRDefault="000537F1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0537F1" w:rsidRDefault="000537F1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0537F1" w:rsidRDefault="000537F1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10186" w:type="dxa"/>
        <w:tblInd w:w="98" w:type="dxa"/>
        <w:tblLook w:val="04A0" w:firstRow="1" w:lastRow="0" w:firstColumn="1" w:lastColumn="0" w:noHBand="0" w:noVBand="1"/>
      </w:tblPr>
      <w:tblGrid>
        <w:gridCol w:w="926"/>
        <w:gridCol w:w="818"/>
        <w:gridCol w:w="1034"/>
        <w:gridCol w:w="818"/>
        <w:gridCol w:w="1034"/>
        <w:gridCol w:w="818"/>
        <w:gridCol w:w="1034"/>
        <w:gridCol w:w="818"/>
        <w:gridCol w:w="1034"/>
        <w:gridCol w:w="818"/>
        <w:gridCol w:w="1034"/>
      </w:tblGrid>
      <w:tr w:rsidR="001C2BFD" w:rsidRPr="001C2BFD" w:rsidTr="001C2BFD">
        <w:trPr>
          <w:trHeight w:val="33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E8777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E8777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E8777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E8777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E8777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1C2BFD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E87778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778" w:rsidRPr="001C2BFD" w:rsidRDefault="00E8777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87778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778" w:rsidRPr="001C2BFD" w:rsidRDefault="00E8777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87778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778" w:rsidRPr="001C2BFD" w:rsidRDefault="00E8777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87778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778" w:rsidRPr="001C2BFD" w:rsidRDefault="00E8777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E87778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778" w:rsidRPr="001C2BFD" w:rsidRDefault="00E8777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78" w:rsidRDefault="00E877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C2BFD" w:rsidRDefault="00E87778" w:rsidP="00E87778">
      <w:pPr>
        <w:spacing w:after="0"/>
        <w:rPr>
          <w:b/>
          <w:noProof/>
          <w:sz w:val="24"/>
          <w:szCs w:val="24"/>
          <w:lang w:val="en-IN" w:eastAsia="en-IN"/>
        </w:rPr>
      </w:pPr>
      <w:r w:rsidRPr="00E87778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636162" cy="2883877"/>
            <wp:effectExtent l="19050" t="0" r="21688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E87778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 1  </w:t>
      </w:r>
    </w:p>
    <w:p w:rsidR="0033095A" w:rsidRPr="00236F1C" w:rsidRDefault="00AD03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AD03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C597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D03D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D03DD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FC597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AD03D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AD03DD">
        <w:rPr>
          <w:rFonts w:ascii="Times New Roman" w:hAnsi="Times New Roman" w:cs="Times New Roman"/>
          <w:sz w:val="24"/>
          <w:szCs w:val="24"/>
        </w:rPr>
        <w:t xml:space="preserve"> of 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2153E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 2</w:t>
      </w:r>
    </w:p>
    <w:p w:rsidR="0033095A" w:rsidRPr="00236F1C" w:rsidRDefault="005966A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2153EB">
        <w:rPr>
          <w:rFonts w:ascii="Times New Roman" w:hAnsi="Times New Roman" w:cs="Times New Roman"/>
          <w:sz w:val="24"/>
          <w:szCs w:val="24"/>
        </w:rPr>
        <w:t>Sub 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5966A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2153EB">
        <w:rPr>
          <w:rFonts w:ascii="Times New Roman" w:hAnsi="Times New Roman" w:cs="Times New Roman"/>
          <w:sz w:val="24"/>
          <w:szCs w:val="24"/>
        </w:rPr>
        <w:t>Sub 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2153E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966A8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2153E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EA0D94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 3</w:t>
      </w:r>
    </w:p>
    <w:p w:rsidR="0033095A" w:rsidRPr="00236F1C" w:rsidRDefault="00EA0D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 xml:space="preserve"> 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EA0D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EA0D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EA0D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EA0D94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 4</w:t>
      </w:r>
    </w:p>
    <w:p w:rsidR="0033095A" w:rsidRPr="00236F1C" w:rsidRDefault="00EA0D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EA0D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433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EA0D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B744B4" w:rsidRDefault="00EA0D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B744B4" w:rsidRPr="00236F1C" w:rsidRDefault="00B744B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EA0D94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 5</w:t>
      </w:r>
      <w:r w:rsidR="0033095A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236F1C" w:rsidRDefault="00EA0D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EA0D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68%</w:t>
      </w:r>
      <w:r w:rsidR="00B43394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EA0D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6C0554" w:rsidRPr="006C0554" w:rsidRDefault="00EA0D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  <w:r w:rsidR="006C05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0554" w:rsidRDefault="006C0554" w:rsidP="006C055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236F1C" w:rsidRDefault="006C0554" w:rsidP="006C055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6540E" w:rsidRDefault="006C0554" w:rsidP="0066540E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540E">
        <w:rPr>
          <w:rFonts w:ascii="Times New Roman" w:hAnsi="Times New Roman" w:cs="Times New Roman"/>
          <w:sz w:val="24"/>
          <w:szCs w:val="24"/>
        </w:rPr>
        <w:t>Table 4</w:t>
      </w:r>
      <w:r w:rsidRPr="006C0554">
        <w:rPr>
          <w:rFonts w:ascii="Times New Roman" w:hAnsi="Times New Roman" w:cs="Times New Roman"/>
          <w:sz w:val="24"/>
          <w:szCs w:val="24"/>
        </w:rPr>
        <w:t xml:space="preserve">: </w:t>
      </w:r>
      <w:r w:rsidR="00B744B4">
        <w:rPr>
          <w:b/>
          <w:noProof/>
          <w:sz w:val="24"/>
          <w:szCs w:val="24"/>
          <w:lang w:val="en-IN" w:eastAsia="en-IN"/>
        </w:rPr>
        <w:t>Infrastructure</w:t>
      </w:r>
    </w:p>
    <w:p w:rsidR="006C0554" w:rsidRPr="006C0554" w:rsidRDefault="006C0554" w:rsidP="006C055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78" w:type="dxa"/>
        <w:tblInd w:w="98" w:type="dxa"/>
        <w:tblLook w:val="04A0" w:firstRow="1" w:lastRow="0" w:firstColumn="1" w:lastColumn="0" w:noHBand="0" w:noVBand="1"/>
      </w:tblPr>
      <w:tblGrid>
        <w:gridCol w:w="926"/>
        <w:gridCol w:w="818"/>
        <w:gridCol w:w="1034"/>
      </w:tblGrid>
      <w:tr w:rsidR="00473F9D" w:rsidRPr="001C2BFD" w:rsidTr="00473F9D">
        <w:trPr>
          <w:trHeight w:val="330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73F9D" w:rsidRPr="001C2BFD" w:rsidRDefault="00473F9D" w:rsidP="00996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73F9D" w:rsidRPr="001C2BFD" w:rsidRDefault="00473F9D" w:rsidP="0099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73F9D" w:rsidRPr="001C2BFD" w:rsidRDefault="00473F9D" w:rsidP="0099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473F9D" w:rsidRPr="001C2BFD" w:rsidTr="00473F9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F9D" w:rsidRPr="001C2BFD" w:rsidRDefault="00473F9D" w:rsidP="0099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F9D" w:rsidRDefault="00473F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3F9D" w:rsidRDefault="00473F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473F9D" w:rsidRPr="001C2BFD" w:rsidTr="00473F9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F9D" w:rsidRPr="001C2BFD" w:rsidRDefault="00473F9D" w:rsidP="0099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F9D" w:rsidRDefault="00473F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3F9D" w:rsidRDefault="00473F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73F9D" w:rsidRPr="001C2BFD" w:rsidTr="00473F9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F9D" w:rsidRPr="001C2BFD" w:rsidRDefault="00473F9D" w:rsidP="0099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F9D" w:rsidRDefault="00473F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3F9D" w:rsidRDefault="00473F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73F9D" w:rsidRPr="001C2BFD" w:rsidTr="00473F9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F9D" w:rsidRPr="001C2BFD" w:rsidRDefault="00473F9D" w:rsidP="0099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F9D" w:rsidRDefault="00473F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3F9D" w:rsidRDefault="00473F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73F9D" w:rsidRPr="001C2BFD" w:rsidTr="00473F9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F9D" w:rsidRPr="001C2BFD" w:rsidRDefault="00473F9D" w:rsidP="0099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F9D" w:rsidRDefault="00473F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3F9D" w:rsidRDefault="00473F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345C6" w:rsidRPr="001345C6" w:rsidRDefault="001345C6" w:rsidP="001345C6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3095A" w:rsidRDefault="0033095A" w:rsidP="00A23B43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1345C6" w:rsidRDefault="001345C6" w:rsidP="001345C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744B4" w:rsidRDefault="00B744B4" w:rsidP="001345C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744B4" w:rsidRDefault="00B744B4" w:rsidP="001345C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345C6" w:rsidRDefault="001345C6" w:rsidP="001345C6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 1  </w:t>
      </w:r>
    </w:p>
    <w:p w:rsidR="001345C6" w:rsidRPr="00236F1C" w:rsidRDefault="001345C6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345C6" w:rsidRPr="00236F1C" w:rsidRDefault="001345C6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 1 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1345C6" w:rsidRPr="00236F1C" w:rsidRDefault="001345C6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1345C6" w:rsidRDefault="001345C6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of Sub 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1345C6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345C6" w:rsidRPr="00B15C6F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 2</w:t>
      </w:r>
    </w:p>
    <w:p w:rsidR="001345C6" w:rsidRPr="00236F1C" w:rsidRDefault="00B744B4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45C6">
        <w:rPr>
          <w:rFonts w:ascii="Times New Roman" w:hAnsi="Times New Roman" w:cs="Times New Roman"/>
          <w:sz w:val="24"/>
          <w:szCs w:val="24"/>
        </w:rPr>
        <w:t>2</w:t>
      </w:r>
      <w:r w:rsidR="001345C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345C6">
        <w:rPr>
          <w:rFonts w:ascii="Times New Roman" w:hAnsi="Times New Roman" w:cs="Times New Roman"/>
          <w:sz w:val="24"/>
          <w:szCs w:val="24"/>
        </w:rPr>
        <w:t>Sub 2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345C6" w:rsidRPr="00236F1C" w:rsidRDefault="001345C6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 of Sub 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1345C6" w:rsidRPr="00236F1C" w:rsidRDefault="001345C6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of Sub 2 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1345C6" w:rsidRPr="00236F1C" w:rsidRDefault="00B744B4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 2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average</w:t>
      </w:r>
    </w:p>
    <w:p w:rsidR="001345C6" w:rsidRPr="00236F1C" w:rsidRDefault="001345C6" w:rsidP="001345C6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345C6" w:rsidRPr="00B15C6F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 3</w:t>
      </w:r>
    </w:p>
    <w:p w:rsidR="001345C6" w:rsidRPr="00236F1C" w:rsidRDefault="00B744B4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4B4">
        <w:rPr>
          <w:rFonts w:ascii="Times New Roman" w:hAnsi="Times New Roman" w:cs="Times New Roman"/>
          <w:bCs/>
          <w:sz w:val="24"/>
          <w:szCs w:val="24"/>
        </w:rPr>
        <w:t>17</w:t>
      </w:r>
      <w:r w:rsidR="001345C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 sub3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345C6" w:rsidRPr="00236F1C" w:rsidRDefault="00B744B4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4B4">
        <w:rPr>
          <w:rFonts w:ascii="Times New Roman" w:hAnsi="Times New Roman" w:cs="Times New Roman"/>
          <w:bCs/>
          <w:sz w:val="24"/>
          <w:szCs w:val="24"/>
        </w:rPr>
        <w:lastRenderedPageBreak/>
        <w:t>25</w:t>
      </w:r>
      <w:r w:rsidR="001345C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Sub3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outstanding</w:t>
      </w:r>
    </w:p>
    <w:p w:rsidR="001345C6" w:rsidRPr="00236F1C" w:rsidRDefault="00B744B4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Sub3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good</w:t>
      </w:r>
    </w:p>
    <w:p w:rsidR="001345C6" w:rsidRPr="003E53F5" w:rsidRDefault="00B744B4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 of Sub3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average</w:t>
      </w:r>
    </w:p>
    <w:p w:rsidR="001345C6" w:rsidRPr="00236F1C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C6" w:rsidRPr="00B15C6F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 4</w:t>
      </w:r>
    </w:p>
    <w:p w:rsidR="001345C6" w:rsidRPr="00236F1C" w:rsidRDefault="00B744B4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4B4">
        <w:rPr>
          <w:rFonts w:ascii="Times New Roman" w:hAnsi="Times New Roman" w:cs="Times New Roman"/>
          <w:bCs/>
          <w:sz w:val="24"/>
          <w:szCs w:val="24"/>
        </w:rPr>
        <w:t>61</w:t>
      </w:r>
      <w:r w:rsidR="001345C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Sub4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345C6" w:rsidRPr="00236F1C" w:rsidRDefault="00B744B4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 of Sub4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outstanding</w:t>
      </w:r>
    </w:p>
    <w:p w:rsidR="001345C6" w:rsidRPr="00236F1C" w:rsidRDefault="00B744B4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 of Sub4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good</w:t>
      </w:r>
    </w:p>
    <w:p w:rsidR="001345C6" w:rsidRPr="00236F1C" w:rsidRDefault="00B744B4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45C6">
        <w:rPr>
          <w:rFonts w:ascii="Times New Roman" w:hAnsi="Times New Roman" w:cs="Times New Roman"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 of Sub4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average</w:t>
      </w:r>
    </w:p>
    <w:p w:rsidR="001345C6" w:rsidRDefault="001345C6" w:rsidP="001345C6">
      <w:pPr>
        <w:rPr>
          <w:rFonts w:ascii="Times New Roman" w:hAnsi="Times New Roman" w:cs="Times New Roman"/>
          <w:sz w:val="24"/>
          <w:szCs w:val="24"/>
        </w:rPr>
      </w:pPr>
    </w:p>
    <w:p w:rsidR="001345C6" w:rsidRPr="00B15C6F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 5 </w:t>
      </w:r>
    </w:p>
    <w:p w:rsidR="001345C6" w:rsidRPr="00236F1C" w:rsidRDefault="00B744B4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345C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 xml:space="preserve">Project/seminar/assignments of Sub5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345C6" w:rsidRPr="00236F1C" w:rsidRDefault="00B744B4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1345C6">
        <w:rPr>
          <w:rFonts w:ascii="Times New Roman" w:hAnsi="Times New Roman" w:cs="Times New Roman"/>
          <w:sz w:val="24"/>
          <w:szCs w:val="24"/>
        </w:rPr>
        <w:t xml:space="preserve">%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 of Sub5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outstanding</w:t>
      </w:r>
    </w:p>
    <w:p w:rsidR="001345C6" w:rsidRPr="00236F1C" w:rsidRDefault="00B744B4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45C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345C6">
        <w:rPr>
          <w:rFonts w:ascii="Times New Roman" w:hAnsi="Times New Roman" w:cs="Times New Roman"/>
          <w:sz w:val="24"/>
          <w:szCs w:val="24"/>
        </w:rPr>
        <w:t>Sub5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>good</w:t>
      </w:r>
    </w:p>
    <w:p w:rsidR="001345C6" w:rsidRPr="006C0554" w:rsidRDefault="00B744B4" w:rsidP="001345C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1345C6">
        <w:rPr>
          <w:rFonts w:ascii="Times New Roman" w:hAnsi="Times New Roman" w:cs="Times New Roman"/>
          <w:sz w:val="24"/>
          <w:szCs w:val="24"/>
        </w:rPr>
        <w:t>Project/seminar/assignments of Sub5</w:t>
      </w:r>
      <w:r w:rsidR="001345C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345C6">
        <w:rPr>
          <w:rFonts w:ascii="Times New Roman" w:hAnsi="Times New Roman" w:cs="Times New Roman"/>
          <w:sz w:val="24"/>
          <w:szCs w:val="24"/>
        </w:rPr>
        <w:t xml:space="preserve">average  </w:t>
      </w:r>
    </w:p>
    <w:p w:rsidR="001345C6" w:rsidRDefault="001345C6" w:rsidP="001345C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37F1" w:rsidRDefault="000537F1" w:rsidP="00B744B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37F1" w:rsidRDefault="000537F1" w:rsidP="00B744B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37F1" w:rsidRDefault="000537F1" w:rsidP="00B744B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37F1" w:rsidRDefault="000537F1" w:rsidP="00B744B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37F1" w:rsidRDefault="000537F1" w:rsidP="00B744B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37F1" w:rsidRDefault="000537F1" w:rsidP="00B744B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37F1" w:rsidRDefault="000537F1" w:rsidP="00B744B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37F1" w:rsidRDefault="000537F1" w:rsidP="00B744B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44B4" w:rsidRDefault="001345C6" w:rsidP="00B744B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3095A" w:rsidRPr="00B744B4" w:rsidRDefault="0033095A" w:rsidP="00B744B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Criterion 5: </w:t>
      </w:r>
      <w:r w:rsidR="00B744B4">
        <w:rPr>
          <w:b/>
          <w:noProof/>
          <w:sz w:val="24"/>
          <w:szCs w:val="24"/>
          <w:lang w:val="en-IN" w:eastAsia="en-IN"/>
        </w:rPr>
        <w:t>O</w:t>
      </w:r>
      <w:r w:rsidR="000435C2">
        <w:rPr>
          <w:b/>
          <w:noProof/>
          <w:sz w:val="24"/>
          <w:szCs w:val="24"/>
          <w:lang w:val="en-IN" w:eastAsia="en-IN"/>
        </w:rPr>
        <w:t>verall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0435C2" w:rsidRDefault="000435C2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5C2" w:rsidRDefault="000435C2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5C2" w:rsidRDefault="000435C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2F6BDD" w:rsidRDefault="002F6BDD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    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tbl>
      <w:tblPr>
        <w:tblW w:w="4024" w:type="dxa"/>
        <w:tblInd w:w="2493" w:type="dxa"/>
        <w:tblLook w:val="04A0" w:firstRow="1" w:lastRow="0" w:firstColumn="1" w:lastColumn="0" w:noHBand="0" w:noVBand="1"/>
      </w:tblPr>
      <w:tblGrid>
        <w:gridCol w:w="1278"/>
        <w:gridCol w:w="1536"/>
        <w:gridCol w:w="1210"/>
      </w:tblGrid>
      <w:tr w:rsidR="002F6BDD" w:rsidTr="00A23B43">
        <w:trPr>
          <w:trHeight w:val="35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0435C2" w:rsidTr="00A23B4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C2" w:rsidRDefault="000435C2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C2" w:rsidRDefault="000435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C2" w:rsidRDefault="000435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0435C2" w:rsidTr="00A23B4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C2" w:rsidRDefault="000435C2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C2" w:rsidRDefault="000435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C2" w:rsidRDefault="000435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0435C2" w:rsidTr="00A23B4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C2" w:rsidRDefault="000435C2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C2" w:rsidRDefault="000435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C2" w:rsidRDefault="000435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0435C2" w:rsidTr="00A23B4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C2" w:rsidRDefault="000435C2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C2" w:rsidRDefault="000435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C2" w:rsidRDefault="000435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0435C2" w:rsidTr="00A23B43">
        <w:trPr>
          <w:trHeight w:val="3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C2" w:rsidRDefault="000435C2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C2" w:rsidRDefault="000435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C2" w:rsidRDefault="000435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0435C2" w:rsidRDefault="000435C2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C2" w:rsidRDefault="000435C2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C2" w:rsidRDefault="000435C2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C2" w:rsidRDefault="00A23B43" w:rsidP="002F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B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0681" cy="2280863"/>
            <wp:effectExtent l="19050" t="0" r="15269" b="5137"/>
            <wp:docPr id="13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35C2" w:rsidRDefault="000435C2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C2" w:rsidRDefault="000435C2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B43" w:rsidRPr="00236F1C" w:rsidRDefault="00A23B43" w:rsidP="00A23B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23B43" w:rsidRPr="00236F1C" w:rsidRDefault="00A23B43" w:rsidP="00A23B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 2 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A23B43" w:rsidRPr="00236F1C" w:rsidRDefault="00A23B43" w:rsidP="00A23B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A23B43" w:rsidRDefault="00A23B43" w:rsidP="00A23B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of Sub 4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about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33095A" w:rsidRPr="00636C35" w:rsidRDefault="0033095A" w:rsidP="0033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page" w:tblpX="3729" w:tblpY="319"/>
        <w:tblW w:w="2976" w:type="dxa"/>
        <w:tblLook w:val="04A0" w:firstRow="1" w:lastRow="0" w:firstColumn="1" w:lastColumn="0" w:noHBand="0" w:noVBand="1"/>
      </w:tblPr>
      <w:tblGrid>
        <w:gridCol w:w="1136"/>
        <w:gridCol w:w="880"/>
        <w:gridCol w:w="960"/>
      </w:tblGrid>
      <w:tr w:rsidR="009F10F5" w:rsidRPr="009F10F5" w:rsidTr="009F10F5">
        <w:trPr>
          <w:trHeight w:val="31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0F5" w:rsidRPr="009F10F5" w:rsidRDefault="009F10F5" w:rsidP="009F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</w:tbl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9F10F5" w:rsidP="0033095A">
      <w:pPr>
        <w:rPr>
          <w:rFonts w:ascii="Times New Roman" w:hAnsi="Times New Roman" w:cs="Times New Roman"/>
          <w:sz w:val="24"/>
          <w:szCs w:val="24"/>
        </w:rPr>
      </w:pPr>
      <w:r w:rsidRPr="009F1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8072" cy="2142699"/>
            <wp:effectExtent l="19050" t="0" r="22178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</w:t>
      </w:r>
      <w:r w:rsid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33095A">
        <w:rPr>
          <w:rFonts w:ascii="Times New Roman" w:hAnsi="Times New Roman" w:cs="Times New Roman"/>
          <w:sz w:val="24"/>
          <w:szCs w:val="24"/>
        </w:rPr>
        <w:t>more industrial/ field visits.</w:t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 w:rsidR="0033095A">
        <w:rPr>
          <w:rFonts w:ascii="Times New Roman" w:hAnsi="Times New Roman" w:cs="Times New Roman"/>
          <w:sz w:val="24"/>
          <w:szCs w:val="24"/>
        </w:rPr>
        <w:t>finds</w:t>
      </w:r>
      <w:proofErr w:type="gramEnd"/>
      <w:r w:rsidR="0033095A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3095A" w:rsidRPr="000910DE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/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69" w:rsidRDefault="00F61369" w:rsidP="001345C6">
      <w:pPr>
        <w:spacing w:after="0" w:line="240" w:lineRule="auto"/>
      </w:pPr>
      <w:r>
        <w:separator/>
      </w:r>
    </w:p>
  </w:endnote>
  <w:endnote w:type="continuationSeparator" w:id="0">
    <w:p w:rsidR="00F61369" w:rsidRDefault="00F61369" w:rsidP="0013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69" w:rsidRDefault="00F61369" w:rsidP="001345C6">
      <w:pPr>
        <w:spacing w:after="0" w:line="240" w:lineRule="auto"/>
      </w:pPr>
      <w:r>
        <w:separator/>
      </w:r>
    </w:p>
  </w:footnote>
  <w:footnote w:type="continuationSeparator" w:id="0">
    <w:p w:rsidR="00F61369" w:rsidRDefault="00F61369" w:rsidP="0013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9A6"/>
    <w:multiLevelType w:val="hybridMultilevel"/>
    <w:tmpl w:val="8984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65552"/>
    <w:multiLevelType w:val="hybridMultilevel"/>
    <w:tmpl w:val="C4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960BF"/>
    <w:multiLevelType w:val="hybridMultilevel"/>
    <w:tmpl w:val="B1A46EA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1C89"/>
    <w:multiLevelType w:val="hybridMultilevel"/>
    <w:tmpl w:val="CE42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0F23"/>
    <w:multiLevelType w:val="hybridMultilevel"/>
    <w:tmpl w:val="A6CA0342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>
    <w:nsid w:val="43F717F3"/>
    <w:multiLevelType w:val="hybridMultilevel"/>
    <w:tmpl w:val="EBCC7C7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>
    <w:nsid w:val="4FA000A1"/>
    <w:multiLevelType w:val="hybridMultilevel"/>
    <w:tmpl w:val="A2B6C34C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51DB3"/>
    <w:multiLevelType w:val="hybridMultilevel"/>
    <w:tmpl w:val="F1A62A56"/>
    <w:lvl w:ilvl="0" w:tplc="6EDEC85C">
      <w:start w:val="12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3133A3"/>
    <w:multiLevelType w:val="hybridMultilevel"/>
    <w:tmpl w:val="5DDAF6A8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97700"/>
    <w:multiLevelType w:val="hybridMultilevel"/>
    <w:tmpl w:val="88A835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1"/>
  </w:num>
  <w:num w:numId="6">
    <w:abstractNumId w:val="5"/>
  </w:num>
  <w:num w:numId="7">
    <w:abstractNumId w:val="14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16"/>
  </w:num>
  <w:num w:numId="16">
    <w:abstractNumId w:val="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5A"/>
    <w:rsid w:val="000435C2"/>
    <w:rsid w:val="000537F1"/>
    <w:rsid w:val="000546C3"/>
    <w:rsid w:val="00054AC8"/>
    <w:rsid w:val="00076D43"/>
    <w:rsid w:val="000929BF"/>
    <w:rsid w:val="000C0475"/>
    <w:rsid w:val="000C6516"/>
    <w:rsid w:val="001220DA"/>
    <w:rsid w:val="001345C6"/>
    <w:rsid w:val="00164CA1"/>
    <w:rsid w:val="00176203"/>
    <w:rsid w:val="00184258"/>
    <w:rsid w:val="001A2DA3"/>
    <w:rsid w:val="001C2BFD"/>
    <w:rsid w:val="001D41E9"/>
    <w:rsid w:val="001D4AA0"/>
    <w:rsid w:val="00203AC7"/>
    <w:rsid w:val="002153EB"/>
    <w:rsid w:val="00254934"/>
    <w:rsid w:val="00282929"/>
    <w:rsid w:val="002F6BDD"/>
    <w:rsid w:val="0033095A"/>
    <w:rsid w:val="00383C54"/>
    <w:rsid w:val="00396CF2"/>
    <w:rsid w:val="003E1BCB"/>
    <w:rsid w:val="003F77BB"/>
    <w:rsid w:val="00446585"/>
    <w:rsid w:val="00466855"/>
    <w:rsid w:val="00473F9D"/>
    <w:rsid w:val="00496D52"/>
    <w:rsid w:val="004C29A0"/>
    <w:rsid w:val="0051085C"/>
    <w:rsid w:val="005966A8"/>
    <w:rsid w:val="0066540E"/>
    <w:rsid w:val="006C0554"/>
    <w:rsid w:val="007773FB"/>
    <w:rsid w:val="007F07E9"/>
    <w:rsid w:val="00815ABD"/>
    <w:rsid w:val="00824B44"/>
    <w:rsid w:val="008500C6"/>
    <w:rsid w:val="00873F82"/>
    <w:rsid w:val="008F193C"/>
    <w:rsid w:val="008F51BA"/>
    <w:rsid w:val="00911A70"/>
    <w:rsid w:val="00916A09"/>
    <w:rsid w:val="009F10F5"/>
    <w:rsid w:val="00A23B43"/>
    <w:rsid w:val="00A3089B"/>
    <w:rsid w:val="00A32764"/>
    <w:rsid w:val="00AA3250"/>
    <w:rsid w:val="00AD03DD"/>
    <w:rsid w:val="00AE09EB"/>
    <w:rsid w:val="00B43394"/>
    <w:rsid w:val="00B62622"/>
    <w:rsid w:val="00B744B4"/>
    <w:rsid w:val="00BA70BF"/>
    <w:rsid w:val="00C032A1"/>
    <w:rsid w:val="00C12CBA"/>
    <w:rsid w:val="00C47CB7"/>
    <w:rsid w:val="00CA2440"/>
    <w:rsid w:val="00CB7DC6"/>
    <w:rsid w:val="00CF4EA1"/>
    <w:rsid w:val="00D10101"/>
    <w:rsid w:val="00D61FD2"/>
    <w:rsid w:val="00D702A7"/>
    <w:rsid w:val="00D71AF5"/>
    <w:rsid w:val="00E34B79"/>
    <w:rsid w:val="00E87778"/>
    <w:rsid w:val="00E92E6F"/>
    <w:rsid w:val="00EA0D94"/>
    <w:rsid w:val="00F51018"/>
    <w:rsid w:val="00F61369"/>
    <w:rsid w:val="00FC597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3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5C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3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5C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geography%20-%2017-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geography%20-%2017-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geography%20-%2017-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geography%20-%2017-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geography%20-%2017-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NAAC%202018_15_May\calcul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12653349720652E-2"/>
          <c:y val="7.4290748258543898E-2"/>
          <c:w val="0.83757503725413518"/>
          <c:h val="0.798923248780753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Sheet1!$A$13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Sheet1!$B$12:$F$12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Sheet1!$B$13:$F$13</c:f>
              <c:numCache>
                <c:formatCode>0</c:formatCode>
                <c:ptCount val="5"/>
                <c:pt idx="0">
                  <c:v>36.363636363636317</c:v>
                </c:pt>
                <c:pt idx="1">
                  <c:v>14.912280701754385</c:v>
                </c:pt>
                <c:pt idx="2">
                  <c:v>5.6818181818181834</c:v>
                </c:pt>
                <c:pt idx="3">
                  <c:v>5.9523809523809481</c:v>
                </c:pt>
                <c:pt idx="4">
                  <c:v>6.25</c:v>
                </c:pt>
              </c:numCache>
            </c:numRef>
          </c:val>
        </c:ser>
        <c:ser>
          <c:idx val="1"/>
          <c:order val="1"/>
          <c:tx>
            <c:strRef>
              <c:f>Sheet1!$A$14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Sheet1!$B$12:$F$12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Sheet1!$B$14:$F$14</c:f>
              <c:numCache>
                <c:formatCode>0</c:formatCode>
                <c:ptCount val="5"/>
                <c:pt idx="0">
                  <c:v>21.818181818181817</c:v>
                </c:pt>
                <c:pt idx="1">
                  <c:v>41.228070175438603</c:v>
                </c:pt>
                <c:pt idx="2">
                  <c:v>62.5</c:v>
                </c:pt>
                <c:pt idx="3">
                  <c:v>23.809523809523778</c:v>
                </c:pt>
                <c:pt idx="4">
                  <c:v>18.75</c:v>
                </c:pt>
              </c:numCache>
            </c:numRef>
          </c:val>
        </c:ser>
        <c:ser>
          <c:idx val="2"/>
          <c:order val="2"/>
          <c:tx>
            <c:strRef>
              <c:f>Sheet1!$A$15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Sheet1!$B$12:$F$12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Sheet1!$B$15:$F$15</c:f>
              <c:numCache>
                <c:formatCode>0</c:formatCode>
                <c:ptCount val="5"/>
                <c:pt idx="0">
                  <c:v>18.181818181818201</c:v>
                </c:pt>
                <c:pt idx="1">
                  <c:v>11.403508771929824</c:v>
                </c:pt>
                <c:pt idx="2">
                  <c:v>23.863636363636349</c:v>
                </c:pt>
                <c:pt idx="3">
                  <c:v>57.142857142857139</c:v>
                </c:pt>
                <c:pt idx="4">
                  <c:v>13.750000000000002</c:v>
                </c:pt>
              </c:numCache>
            </c:numRef>
          </c:val>
        </c:ser>
        <c:ser>
          <c:idx val="3"/>
          <c:order val="3"/>
          <c:tx>
            <c:strRef>
              <c:f>Sheet1!$A$16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Sheet1!$B$12:$F$12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Sheet1!$B$16:$F$16</c:f>
              <c:numCache>
                <c:formatCode>0</c:formatCode>
                <c:ptCount val="5"/>
                <c:pt idx="0">
                  <c:v>23.636363636363626</c:v>
                </c:pt>
                <c:pt idx="1">
                  <c:v>32.456140350877192</c:v>
                </c:pt>
                <c:pt idx="2">
                  <c:v>7.9545454545454497</c:v>
                </c:pt>
                <c:pt idx="3">
                  <c:v>13.0952380952381</c:v>
                </c:pt>
                <c:pt idx="4">
                  <c:v>61.250000000000007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2049920"/>
        <c:axId val="212051456"/>
        <c:axId val="0"/>
      </c:bar3DChart>
      <c:catAx>
        <c:axId val="212049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12051456"/>
        <c:crosses val="autoZero"/>
        <c:auto val="1"/>
        <c:lblAlgn val="ctr"/>
        <c:lblOffset val="100"/>
        <c:noMultiLvlLbl val="0"/>
      </c:catAx>
      <c:valAx>
        <c:axId val="21205145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12049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710629921259867E-2"/>
          <c:y val="7.4548702245552642E-2"/>
          <c:w val="0.84161023622047415"/>
          <c:h val="0.79822506561679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Sheet1!$A$49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Sheet1!$B$48:$F$48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Sheet1!$B$49:$F$49</c:f>
              <c:numCache>
                <c:formatCode>0</c:formatCode>
                <c:ptCount val="5"/>
                <c:pt idx="0">
                  <c:v>59.090909090909122</c:v>
                </c:pt>
                <c:pt idx="1">
                  <c:v>20</c:v>
                </c:pt>
                <c:pt idx="2">
                  <c:v>8.8709677419354769</c:v>
                </c:pt>
                <c:pt idx="3">
                  <c:v>8.59375</c:v>
                </c:pt>
                <c:pt idx="4">
                  <c:v>11.428571428571416</c:v>
                </c:pt>
              </c:numCache>
            </c:numRef>
          </c:val>
        </c:ser>
        <c:ser>
          <c:idx val="1"/>
          <c:order val="1"/>
          <c:tx>
            <c:strRef>
              <c:f>Sheet1!$A$50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Sheet1!$B$48:$F$48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Sheet1!$B$50:$F$50</c:f>
              <c:numCache>
                <c:formatCode>0</c:formatCode>
                <c:ptCount val="5"/>
                <c:pt idx="0">
                  <c:v>21.212121212121183</c:v>
                </c:pt>
                <c:pt idx="1">
                  <c:v>53.333333333333336</c:v>
                </c:pt>
                <c:pt idx="2">
                  <c:v>58.064516129032256</c:v>
                </c:pt>
                <c:pt idx="3">
                  <c:v>8.59375</c:v>
                </c:pt>
                <c:pt idx="4">
                  <c:v>14.285714285714286</c:v>
                </c:pt>
              </c:numCache>
            </c:numRef>
          </c:val>
        </c:ser>
        <c:ser>
          <c:idx val="2"/>
          <c:order val="2"/>
          <c:tx>
            <c:strRef>
              <c:f>Sheet1!$A$51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Sheet1!$B$48:$F$48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Sheet1!$B$51:$F$51</c:f>
              <c:numCache>
                <c:formatCode>0</c:formatCode>
                <c:ptCount val="5"/>
                <c:pt idx="0">
                  <c:v>12.121212121212109</c:v>
                </c:pt>
                <c:pt idx="1">
                  <c:v>20.833333333333311</c:v>
                </c:pt>
                <c:pt idx="2">
                  <c:v>28.225806451612907</c:v>
                </c:pt>
                <c:pt idx="3">
                  <c:v>65.624999999999986</c:v>
                </c:pt>
                <c:pt idx="4">
                  <c:v>17.142857142857157</c:v>
                </c:pt>
              </c:numCache>
            </c:numRef>
          </c:val>
        </c:ser>
        <c:ser>
          <c:idx val="3"/>
          <c:order val="3"/>
          <c:tx>
            <c:strRef>
              <c:f>Sheet1!$A$52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Sheet1!$B$48:$F$48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Sheet1!$B$52:$F$52</c:f>
              <c:numCache>
                <c:formatCode>0</c:formatCode>
                <c:ptCount val="5"/>
                <c:pt idx="0">
                  <c:v>7.5757575757575761</c:v>
                </c:pt>
                <c:pt idx="1">
                  <c:v>5.8333333333333384</c:v>
                </c:pt>
                <c:pt idx="2">
                  <c:v>4.838709677419355</c:v>
                </c:pt>
                <c:pt idx="3">
                  <c:v>17.1875</c:v>
                </c:pt>
                <c:pt idx="4">
                  <c:v>57.142857142857139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1517312"/>
        <c:axId val="221518848"/>
        <c:axId val="0"/>
      </c:bar3DChart>
      <c:catAx>
        <c:axId val="221517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21518848"/>
        <c:crosses val="autoZero"/>
        <c:auto val="1"/>
        <c:lblAlgn val="ctr"/>
        <c:lblOffset val="100"/>
        <c:noMultiLvlLbl val="0"/>
      </c:catAx>
      <c:valAx>
        <c:axId val="22151884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21517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710629921259867E-2"/>
          <c:y val="7.4548702245552642E-2"/>
          <c:w val="0.84161023622047415"/>
          <c:h val="0.79822506561679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Sheet1!$A$49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Sheet1!$B$48:$F$48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Sheet1!$B$49:$F$49</c:f>
              <c:numCache>
                <c:formatCode>0</c:formatCode>
                <c:ptCount val="5"/>
                <c:pt idx="0">
                  <c:v>59.090909090909122</c:v>
                </c:pt>
                <c:pt idx="1">
                  <c:v>20</c:v>
                </c:pt>
                <c:pt idx="2">
                  <c:v>8.8709677419354769</c:v>
                </c:pt>
                <c:pt idx="3">
                  <c:v>8.59375</c:v>
                </c:pt>
                <c:pt idx="4">
                  <c:v>11.428571428571416</c:v>
                </c:pt>
              </c:numCache>
            </c:numRef>
          </c:val>
        </c:ser>
        <c:ser>
          <c:idx val="1"/>
          <c:order val="1"/>
          <c:tx>
            <c:strRef>
              <c:f>Sheet1!$A$50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Sheet1!$B$48:$F$48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Sheet1!$B$50:$F$50</c:f>
              <c:numCache>
                <c:formatCode>0</c:formatCode>
                <c:ptCount val="5"/>
                <c:pt idx="0">
                  <c:v>21.212121212121183</c:v>
                </c:pt>
                <c:pt idx="1">
                  <c:v>53.333333333333336</c:v>
                </c:pt>
                <c:pt idx="2">
                  <c:v>58.064516129032256</c:v>
                </c:pt>
                <c:pt idx="3">
                  <c:v>8.59375</c:v>
                </c:pt>
                <c:pt idx="4">
                  <c:v>14.285714285714286</c:v>
                </c:pt>
              </c:numCache>
            </c:numRef>
          </c:val>
        </c:ser>
        <c:ser>
          <c:idx val="2"/>
          <c:order val="2"/>
          <c:tx>
            <c:strRef>
              <c:f>Sheet1!$A$51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Sheet1!$B$48:$F$48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Sheet1!$B$51:$F$51</c:f>
              <c:numCache>
                <c:formatCode>0</c:formatCode>
                <c:ptCount val="5"/>
                <c:pt idx="0">
                  <c:v>12.121212121212109</c:v>
                </c:pt>
                <c:pt idx="1">
                  <c:v>20.833333333333311</c:v>
                </c:pt>
                <c:pt idx="2">
                  <c:v>28.225806451612907</c:v>
                </c:pt>
                <c:pt idx="3">
                  <c:v>65.624999999999986</c:v>
                </c:pt>
                <c:pt idx="4">
                  <c:v>17.142857142857157</c:v>
                </c:pt>
              </c:numCache>
            </c:numRef>
          </c:val>
        </c:ser>
        <c:ser>
          <c:idx val="3"/>
          <c:order val="3"/>
          <c:tx>
            <c:strRef>
              <c:f>Sheet1!$A$52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Sheet1!$B$48:$F$48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Sheet1!$B$52:$F$52</c:f>
              <c:numCache>
                <c:formatCode>0</c:formatCode>
                <c:ptCount val="5"/>
                <c:pt idx="0">
                  <c:v>7.5757575757575761</c:v>
                </c:pt>
                <c:pt idx="1">
                  <c:v>5.8333333333333384</c:v>
                </c:pt>
                <c:pt idx="2">
                  <c:v>4.838709677419355</c:v>
                </c:pt>
                <c:pt idx="3">
                  <c:v>17.1875</c:v>
                </c:pt>
                <c:pt idx="4">
                  <c:v>57.142857142857139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1543808"/>
        <c:axId val="221557888"/>
        <c:axId val="0"/>
      </c:bar3DChart>
      <c:catAx>
        <c:axId val="22154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221557888"/>
        <c:crosses val="autoZero"/>
        <c:auto val="1"/>
        <c:lblAlgn val="ctr"/>
        <c:lblOffset val="100"/>
        <c:noMultiLvlLbl val="0"/>
      </c:catAx>
      <c:valAx>
        <c:axId val="22155788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21543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48840769903743"/>
          <c:y val="4.6770924467774859E-2"/>
          <c:w val="0.80272134733158473"/>
          <c:h val="0.79822506561679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Sheet1!$A$86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Sheet1!$B$85:$F$85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Sheet1!$B$86:$F$86</c:f>
              <c:numCache>
                <c:formatCode>0</c:formatCode>
                <c:ptCount val="5"/>
                <c:pt idx="0">
                  <c:v>55.555555555555557</c:v>
                </c:pt>
                <c:pt idx="1">
                  <c:v>28.125</c:v>
                </c:pt>
                <c:pt idx="2">
                  <c:v>2.3809523809523809</c:v>
                </c:pt>
                <c:pt idx="3">
                  <c:v>2.0833333333333348</c:v>
                </c:pt>
                <c:pt idx="4">
                  <c:v>8.8235294117647065</c:v>
                </c:pt>
              </c:numCache>
            </c:numRef>
          </c:val>
        </c:ser>
        <c:ser>
          <c:idx val="1"/>
          <c:order val="1"/>
          <c:tx>
            <c:strRef>
              <c:f>Sheet1!$A$87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Sheet1!$B$85:$F$85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Sheet1!$B$87:$F$87</c:f>
              <c:numCache>
                <c:formatCode>0</c:formatCode>
                <c:ptCount val="5"/>
                <c:pt idx="0">
                  <c:v>11.111111111111098</c:v>
                </c:pt>
                <c:pt idx="1">
                  <c:v>6.25</c:v>
                </c:pt>
                <c:pt idx="2">
                  <c:v>21.428571428571427</c:v>
                </c:pt>
                <c:pt idx="3">
                  <c:v>70.833333333333286</c:v>
                </c:pt>
                <c:pt idx="4">
                  <c:v>5.8823529411764675</c:v>
                </c:pt>
              </c:numCache>
            </c:numRef>
          </c:val>
        </c:ser>
        <c:ser>
          <c:idx val="2"/>
          <c:order val="2"/>
          <c:tx>
            <c:strRef>
              <c:f>Sheet1!$A$88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Sheet1!$B$85:$F$85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Sheet1!$B$88:$F$88</c:f>
              <c:numCache>
                <c:formatCode>0</c:formatCode>
                <c:ptCount val="5"/>
                <c:pt idx="0">
                  <c:v>0</c:v>
                </c:pt>
                <c:pt idx="1">
                  <c:v>3.125</c:v>
                </c:pt>
                <c:pt idx="2">
                  <c:v>9.5238095238095237</c:v>
                </c:pt>
                <c:pt idx="3">
                  <c:v>14.583333333333334</c:v>
                </c:pt>
                <c:pt idx="4">
                  <c:v>67.647058823529306</c:v>
                </c:pt>
              </c:numCache>
            </c:numRef>
          </c:val>
        </c:ser>
        <c:ser>
          <c:idx val="3"/>
          <c:order val="3"/>
          <c:tx>
            <c:strRef>
              <c:f>Sheet1!$A$89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Sheet1!$B$85:$F$85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Sheet1!$B$89:$F$89</c:f>
              <c:numCache>
                <c:formatCode>0</c:formatCode>
                <c:ptCount val="5"/>
                <c:pt idx="0">
                  <c:v>66.666666666666657</c:v>
                </c:pt>
                <c:pt idx="1">
                  <c:v>37.5</c:v>
                </c:pt>
                <c:pt idx="2">
                  <c:v>33.333333333333329</c:v>
                </c:pt>
                <c:pt idx="3">
                  <c:v>87.5</c:v>
                </c:pt>
                <c:pt idx="4">
                  <c:v>82.352941176470452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1660672"/>
        <c:axId val="221662208"/>
        <c:axId val="0"/>
      </c:bar3DChart>
      <c:catAx>
        <c:axId val="22166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21662208"/>
        <c:crosses val="autoZero"/>
        <c:auto val="1"/>
        <c:lblAlgn val="ctr"/>
        <c:lblOffset val="100"/>
        <c:noMultiLvlLbl val="0"/>
      </c:catAx>
      <c:valAx>
        <c:axId val="22166220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2166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Sheet1!$B$159</c:f>
              <c:strCache>
                <c:ptCount val="1"/>
                <c:pt idx="0">
                  <c:v>percentage</c:v>
                </c:pt>
              </c:strCache>
            </c:strRef>
          </c:tx>
          <c:invertIfNegative val="0"/>
          <c:cat>
            <c:strRef>
              <c:f>Sheet1!$A$160:$A$163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Sheet1!$B$160:$B$163</c:f>
              <c:numCache>
                <c:formatCode>0</c:formatCode>
                <c:ptCount val="4"/>
                <c:pt idx="0">
                  <c:v>13.333333333333334</c:v>
                </c:pt>
                <c:pt idx="1">
                  <c:v>26.666666666666668</c:v>
                </c:pt>
                <c:pt idx="2">
                  <c:v>41.111111111111107</c:v>
                </c:pt>
                <c:pt idx="3">
                  <c:v>18.888888888888893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1691904"/>
        <c:axId val="221693440"/>
        <c:axId val="0"/>
      </c:bar3DChart>
      <c:catAx>
        <c:axId val="22169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221693440"/>
        <c:crosses val="autoZero"/>
        <c:auto val="1"/>
        <c:lblAlgn val="ctr"/>
        <c:lblOffset val="100"/>
        <c:noMultiLvlLbl val="0"/>
      </c:catAx>
      <c:valAx>
        <c:axId val="22169344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2169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chemistry!$D$76:$D$77</c:f>
              <c:strCache>
                <c:ptCount val="1"/>
                <c:pt idx="0">
                  <c:v>Yes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chemistry!$C$78:$C$82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chemistry!$D$78:$D$82</c:f>
              <c:numCache>
                <c:formatCode>General</c:formatCode>
                <c:ptCount val="5"/>
                <c:pt idx="0">
                  <c:v>93</c:v>
                </c:pt>
                <c:pt idx="1">
                  <c:v>98</c:v>
                </c:pt>
                <c:pt idx="2">
                  <c:v>97</c:v>
                </c:pt>
                <c:pt idx="3">
                  <c:v>99</c:v>
                </c:pt>
                <c:pt idx="4">
                  <c:v>99</c:v>
                </c:pt>
              </c:numCache>
            </c:numRef>
          </c:val>
        </c:ser>
        <c:ser>
          <c:idx val="1"/>
          <c:order val="1"/>
          <c:tx>
            <c:strRef>
              <c:f>chemistry!$E$76:$E$77</c:f>
              <c:strCache>
                <c:ptCount val="1"/>
                <c:pt idx="0">
                  <c:v>No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chemistry!$C$78:$C$82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chemistry!$E$78:$E$82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711360"/>
        <c:axId val="221713536"/>
      </c:barChart>
      <c:catAx>
        <c:axId val="221711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US"/>
                  <a:t>Criterions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221713536"/>
        <c:crosses val="autoZero"/>
        <c:auto val="1"/>
        <c:lblAlgn val="ctr"/>
        <c:lblOffset val="100"/>
        <c:noMultiLvlLbl val="0"/>
      </c:catAx>
      <c:valAx>
        <c:axId val="221713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2217113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23</cp:revision>
  <dcterms:created xsi:type="dcterms:W3CDTF">2009-12-31T20:37:00Z</dcterms:created>
  <dcterms:modified xsi:type="dcterms:W3CDTF">2018-10-16T11:30:00Z</dcterms:modified>
</cp:coreProperties>
</file>