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E9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proofErr w:type="spellStart"/>
      <w:r w:rsidR="004664A9">
        <w:rPr>
          <w:rFonts w:ascii="Times New Roman" w:hAnsi="Times New Roman" w:cs="Times New Roman"/>
          <w:b/>
          <w:sz w:val="24"/>
          <w:szCs w:val="24"/>
        </w:rPr>
        <w:t>Forgain</w:t>
      </w:r>
      <w:proofErr w:type="spellEnd"/>
      <w:r w:rsidR="004664A9">
        <w:rPr>
          <w:rFonts w:ascii="Times New Roman" w:hAnsi="Times New Roman" w:cs="Times New Roman"/>
          <w:b/>
          <w:sz w:val="24"/>
          <w:szCs w:val="24"/>
        </w:rPr>
        <w:t xml:space="preserve"> Language</w:t>
      </w:r>
      <w:proofErr w:type="gramStart"/>
      <w:r w:rsidR="00DE6BE9">
        <w:rPr>
          <w:rFonts w:ascii="Times New Roman" w:hAnsi="Times New Roman" w:cs="Times New Roman"/>
          <w:b/>
          <w:sz w:val="24"/>
          <w:szCs w:val="24"/>
        </w:rPr>
        <w:t>,</w:t>
      </w:r>
      <w:r w:rsidR="004664A9">
        <w:rPr>
          <w:rFonts w:ascii="Times New Roman" w:hAnsi="Times New Roman" w:cs="Times New Roman"/>
          <w:b/>
          <w:sz w:val="24"/>
          <w:szCs w:val="24"/>
        </w:rPr>
        <w:t xml:space="preserve">  year</w:t>
      </w:r>
      <w:proofErr w:type="gramEnd"/>
      <w:r w:rsidR="004664A9">
        <w:rPr>
          <w:rFonts w:ascii="Times New Roman" w:hAnsi="Times New Roman" w:cs="Times New Roman"/>
          <w:b/>
          <w:sz w:val="24"/>
          <w:szCs w:val="24"/>
        </w:rPr>
        <w:t>, 2017-18</w:t>
      </w:r>
    </w:p>
    <w:tbl>
      <w:tblPr>
        <w:tblW w:w="9360" w:type="dxa"/>
        <w:tblInd w:w="108" w:type="dxa"/>
        <w:tblLook w:val="04A0"/>
      </w:tblPr>
      <w:tblGrid>
        <w:gridCol w:w="2983"/>
        <w:gridCol w:w="222"/>
        <w:gridCol w:w="222"/>
        <w:gridCol w:w="222"/>
        <w:gridCol w:w="226"/>
        <w:gridCol w:w="226"/>
        <w:gridCol w:w="222"/>
        <w:gridCol w:w="225"/>
        <w:gridCol w:w="225"/>
        <w:gridCol w:w="222"/>
        <w:gridCol w:w="353"/>
        <w:gridCol w:w="265"/>
        <w:gridCol w:w="379"/>
        <w:gridCol w:w="375"/>
        <w:gridCol w:w="222"/>
        <w:gridCol w:w="247"/>
        <w:gridCol w:w="222"/>
        <w:gridCol w:w="222"/>
        <w:gridCol w:w="225"/>
        <w:gridCol w:w="631"/>
        <w:gridCol w:w="222"/>
        <w:gridCol w:w="222"/>
        <w:gridCol w:w="222"/>
        <w:gridCol w:w="222"/>
        <w:gridCol w:w="222"/>
        <w:gridCol w:w="222"/>
      </w:tblGrid>
      <w:tr w:rsidR="00DE6BE9" w:rsidRPr="00DE6BE9" w:rsidTr="00DE6BE9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922384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8776" w:type="dxa"/>
        <w:jc w:val="center"/>
        <w:tblInd w:w="103" w:type="dxa"/>
        <w:tblLook w:val="04A0"/>
      </w:tblPr>
      <w:tblGrid>
        <w:gridCol w:w="1180"/>
        <w:gridCol w:w="881"/>
        <w:gridCol w:w="708"/>
        <w:gridCol w:w="881"/>
        <w:gridCol w:w="677"/>
        <w:gridCol w:w="881"/>
        <w:gridCol w:w="677"/>
        <w:gridCol w:w="881"/>
        <w:gridCol w:w="677"/>
        <w:gridCol w:w="716"/>
        <w:gridCol w:w="617"/>
      </w:tblGrid>
      <w:tr w:rsidR="00922384" w:rsidRPr="001A2DA3" w:rsidTr="00C03C9E">
        <w:trPr>
          <w:trHeight w:val="291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2384" w:rsidRPr="000C6516" w:rsidRDefault="00922384" w:rsidP="007C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22384" w:rsidRPr="000C6516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22384" w:rsidRPr="000C6516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22384" w:rsidRPr="000C6516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22384" w:rsidRPr="000C6516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384" w:rsidRPr="00BA70BF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922384" w:rsidRPr="001A2DA3" w:rsidTr="00C03C9E">
        <w:trPr>
          <w:trHeight w:val="291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2384" w:rsidRPr="001A2DA3" w:rsidRDefault="00922384" w:rsidP="007C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2384" w:rsidRPr="001A2DA3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22384" w:rsidRPr="001A2DA3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2384" w:rsidRPr="001A2DA3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22384" w:rsidRPr="001A2DA3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2384" w:rsidRPr="001A2DA3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22384" w:rsidRPr="001A2DA3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2384" w:rsidRPr="001A2DA3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22384" w:rsidRPr="001A2DA3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22384" w:rsidRPr="001A2DA3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22384" w:rsidRPr="001A2DA3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C03C9E" w:rsidRPr="001A2DA3" w:rsidTr="00C03C9E">
        <w:trPr>
          <w:trHeight w:val="206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C9E" w:rsidRPr="001A2DA3" w:rsidRDefault="00C03C9E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3C9E" w:rsidRPr="001A2DA3" w:rsidTr="00C03C9E">
        <w:trPr>
          <w:trHeight w:val="291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C9E" w:rsidRPr="001A2DA3" w:rsidRDefault="00C03C9E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3C9E" w:rsidRPr="001A2DA3" w:rsidTr="00C03C9E">
        <w:trPr>
          <w:trHeight w:val="291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C9E" w:rsidRPr="001A2DA3" w:rsidRDefault="00C03C9E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3C9E" w:rsidRPr="001A2DA3" w:rsidTr="00C03C9E">
        <w:trPr>
          <w:trHeight w:val="291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C9E" w:rsidRPr="001A2DA3" w:rsidRDefault="00C03C9E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03C9E" w:rsidRPr="001A2DA3" w:rsidTr="00C03C9E">
        <w:trPr>
          <w:trHeight w:val="291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C9E" w:rsidRPr="001A2DA3" w:rsidRDefault="00C03C9E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C9E" w:rsidRDefault="00C03C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922384" w:rsidRDefault="00922384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2384" w:rsidRDefault="00922384" w:rsidP="00922384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C9E" w:rsidRDefault="00C03C9E" w:rsidP="00922384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C9E" w:rsidRDefault="00C03C9E" w:rsidP="00922384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C9E" w:rsidRDefault="00C03C9E" w:rsidP="00922384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C9E" w:rsidRDefault="00C03C9E" w:rsidP="00922384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C9E" w:rsidRDefault="00C03C9E" w:rsidP="00922384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C9E" w:rsidRDefault="00C03C9E" w:rsidP="00C03C9E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1884459"/>
            <wp:effectExtent l="0" t="0" r="19050" b="209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28A7" w:rsidRDefault="00FC28A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Default="00D80C35" w:rsidP="00D80C35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873F82" w:rsidRPr="00FC28A7" w:rsidRDefault="00C03C9E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73F8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sub1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C28A7" w:rsidRDefault="00C03C9E" w:rsidP="00FC28A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FC28A7" w:rsidRPr="00FC28A7">
        <w:rPr>
          <w:rFonts w:ascii="Times New Roman" w:hAnsi="Times New Roman" w:cs="Times New Roman"/>
          <w:sz w:val="24"/>
          <w:szCs w:val="24"/>
        </w:rPr>
        <w:t>%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sub1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FC28A7" w:rsidRDefault="00C03C9E" w:rsidP="00FC28A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C28A7" w:rsidRPr="00FC28A7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sub1</w:t>
      </w:r>
      <w:r w:rsidR="0033095A" w:rsidRPr="00FC28A7">
        <w:rPr>
          <w:rFonts w:ascii="Times New Roman" w:hAnsi="Times New Roman" w:cs="Times New Roman"/>
          <w:sz w:val="24"/>
          <w:szCs w:val="24"/>
        </w:rPr>
        <w:t>as good</w:t>
      </w:r>
    </w:p>
    <w:p w:rsidR="0033095A" w:rsidRDefault="00C03C9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C28A7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D80C35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33095A" w:rsidRPr="00236F1C" w:rsidRDefault="00C03C9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C03C9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C03C9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C03C9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C28A7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D80C35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33095A" w:rsidRPr="00236F1C" w:rsidRDefault="00C03C9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C03C9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3C5453" w:rsidRDefault="00C03C9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C5453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C5453" w:rsidRDefault="00C03C9E" w:rsidP="003C54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C5453" w:rsidRPr="003C5453">
        <w:rPr>
          <w:rFonts w:ascii="Times New Roman" w:hAnsi="Times New Roman" w:cs="Times New Roman"/>
          <w:sz w:val="24"/>
          <w:szCs w:val="24"/>
        </w:rPr>
        <w:t>%</w:t>
      </w:r>
      <w:r w:rsidR="0033095A" w:rsidRPr="003C5453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sub3</w:t>
      </w:r>
      <w:r w:rsidR="0033095A" w:rsidRPr="003C5453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D80C35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33095A" w:rsidRPr="00236F1C" w:rsidRDefault="00C03C9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C03C9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C03C9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B26D14" w:rsidRDefault="00C03C9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26D14">
        <w:rPr>
          <w:rFonts w:ascii="Times New Roman" w:hAnsi="Times New Roman" w:cs="Times New Roman"/>
          <w:sz w:val="24"/>
          <w:szCs w:val="24"/>
        </w:rPr>
        <w:t>average</w:t>
      </w:r>
    </w:p>
    <w:p w:rsidR="00B26D14" w:rsidRDefault="00B26D14" w:rsidP="00D80C35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C35" w:rsidRPr="00873F82" w:rsidRDefault="00D80C35" w:rsidP="00D80C35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D80C35" w:rsidRPr="00236F1C" w:rsidRDefault="00C03C9E" w:rsidP="00D80C3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D80C35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sub5</w:t>
      </w:r>
      <w:r w:rsidR="00D80C35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D80C35" w:rsidRPr="00236F1C" w:rsidRDefault="00C03C9E" w:rsidP="00D80C3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D80C35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sub5</w:t>
      </w:r>
      <w:r w:rsidR="00D80C35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D80C35">
        <w:rPr>
          <w:rFonts w:ascii="Times New Roman" w:hAnsi="Times New Roman" w:cs="Times New Roman"/>
          <w:sz w:val="24"/>
          <w:szCs w:val="24"/>
        </w:rPr>
        <w:t>outstanding</w:t>
      </w:r>
    </w:p>
    <w:p w:rsidR="00D80C35" w:rsidRPr="00236F1C" w:rsidRDefault="00C03C9E" w:rsidP="00D80C3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D80C35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sub5</w:t>
      </w:r>
      <w:r w:rsidR="00D80C35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D80C35">
        <w:rPr>
          <w:rFonts w:ascii="Times New Roman" w:hAnsi="Times New Roman" w:cs="Times New Roman"/>
          <w:sz w:val="24"/>
          <w:szCs w:val="24"/>
        </w:rPr>
        <w:t>good</w:t>
      </w:r>
    </w:p>
    <w:p w:rsidR="00D80C35" w:rsidRPr="00B26D14" w:rsidRDefault="00C03C9E" w:rsidP="00D80C3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D80C35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sub5</w:t>
      </w:r>
      <w:r w:rsidR="00D80C3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80C35">
        <w:rPr>
          <w:rFonts w:ascii="Times New Roman" w:hAnsi="Times New Roman" w:cs="Times New Roman"/>
          <w:sz w:val="24"/>
          <w:szCs w:val="24"/>
        </w:rPr>
        <w:t>average</w:t>
      </w:r>
    </w:p>
    <w:p w:rsidR="00D80C35" w:rsidRPr="00B26D14" w:rsidRDefault="00D80C35" w:rsidP="00D80C3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C35" w:rsidRPr="00D80C35" w:rsidRDefault="00D80C35" w:rsidP="00D80C35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8877" w:type="dxa"/>
        <w:jc w:val="center"/>
        <w:tblInd w:w="103" w:type="dxa"/>
        <w:tblLook w:val="04A0"/>
      </w:tblPr>
      <w:tblGrid>
        <w:gridCol w:w="1194"/>
        <w:gridCol w:w="891"/>
        <w:gridCol w:w="716"/>
        <w:gridCol w:w="891"/>
        <w:gridCol w:w="685"/>
        <w:gridCol w:w="891"/>
        <w:gridCol w:w="685"/>
        <w:gridCol w:w="891"/>
        <w:gridCol w:w="685"/>
        <w:gridCol w:w="724"/>
        <w:gridCol w:w="624"/>
      </w:tblGrid>
      <w:tr w:rsidR="00D80C35" w:rsidRPr="001A2DA3" w:rsidTr="007C1A81">
        <w:trPr>
          <w:trHeight w:val="306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80C35" w:rsidRPr="000C6516" w:rsidRDefault="00D80C35" w:rsidP="007C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80C35" w:rsidRPr="000C6516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80C35" w:rsidRPr="000C6516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80C35" w:rsidRPr="000C6516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80C35" w:rsidRPr="000C6516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C35" w:rsidRPr="00BA70BF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D80C35" w:rsidRPr="001A2DA3" w:rsidTr="007C1A81">
        <w:trPr>
          <w:trHeight w:val="306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80C35" w:rsidRPr="001A2DA3" w:rsidRDefault="00D80C35" w:rsidP="007C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80C35" w:rsidRPr="001A2DA3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C35" w:rsidRPr="001A2DA3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80C35" w:rsidRPr="001A2DA3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C35" w:rsidRPr="001A2DA3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80C35" w:rsidRPr="001A2DA3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C35" w:rsidRPr="001A2DA3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80C35" w:rsidRPr="001A2DA3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C35" w:rsidRPr="001A2DA3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C35" w:rsidRPr="001A2DA3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C35" w:rsidRPr="001A2DA3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7C1A81" w:rsidRPr="001A2DA3" w:rsidTr="007C1A81">
        <w:trPr>
          <w:trHeight w:val="217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81" w:rsidRPr="001A2DA3" w:rsidRDefault="007C1A81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C1A81" w:rsidRPr="001A2DA3" w:rsidTr="007C1A81">
        <w:trPr>
          <w:trHeight w:val="306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81" w:rsidRPr="001A2DA3" w:rsidRDefault="007C1A81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C1A81" w:rsidRPr="001A2DA3" w:rsidTr="007C1A81">
        <w:trPr>
          <w:trHeight w:val="306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81" w:rsidRPr="001A2DA3" w:rsidRDefault="007C1A81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C1A81" w:rsidRPr="001A2DA3" w:rsidTr="007C1A81">
        <w:trPr>
          <w:trHeight w:val="306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81" w:rsidRPr="001A2DA3" w:rsidRDefault="007C1A81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C1A81" w:rsidRPr="001A2DA3" w:rsidTr="007C1A81">
        <w:trPr>
          <w:trHeight w:val="306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A81" w:rsidRPr="001A2DA3" w:rsidRDefault="007C1A81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A81" w:rsidRDefault="007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7C1A81" w:rsidRDefault="007C1A81" w:rsidP="007C1A8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1A81" w:rsidRDefault="007C1A81" w:rsidP="007C1A8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1A81" w:rsidRDefault="007C1A81" w:rsidP="007C1A8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1A81" w:rsidRDefault="007C1A81" w:rsidP="002B0C81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685182" cy="2369489"/>
            <wp:effectExtent l="0" t="0" r="10795" b="1206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0CB9" w:rsidRDefault="00FD0CB9" w:rsidP="007C1A8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1A81" w:rsidRPr="00E33B7A" w:rsidRDefault="007C1A81" w:rsidP="007C1A8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Sub1</w:t>
      </w:r>
    </w:p>
    <w:p w:rsidR="0033095A" w:rsidRPr="00BA70BF" w:rsidRDefault="007C1A8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>rated performance of</w:t>
      </w:r>
      <w:r w:rsidR="00236E66">
        <w:rPr>
          <w:rFonts w:ascii="Times New Roman" w:hAnsi="Times New Roman" w:cs="Times New Roman"/>
          <w:sz w:val="24"/>
          <w:szCs w:val="24"/>
        </w:rPr>
        <w:t xml:space="preserve"> Sub1</w:t>
      </w:r>
      <w:r w:rsidR="00EB4492">
        <w:rPr>
          <w:rFonts w:ascii="Times New Roman" w:hAnsi="Times New Roman" w:cs="Times New Roman"/>
          <w:sz w:val="24"/>
          <w:szCs w:val="24"/>
        </w:rPr>
        <w:t xml:space="preserve">as </w:t>
      </w:r>
      <w:r w:rsidR="0033095A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BA70BF" w:rsidRPr="00D549BA" w:rsidRDefault="007C1A8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B4492">
        <w:rPr>
          <w:rFonts w:ascii="Times New Roman" w:hAnsi="Times New Roman" w:cs="Times New Roman"/>
          <w:sz w:val="24"/>
          <w:szCs w:val="24"/>
        </w:rPr>
        <w:t>%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236E66">
        <w:rPr>
          <w:rFonts w:ascii="Times New Roman" w:hAnsi="Times New Roman" w:cs="Times New Roman"/>
          <w:sz w:val="24"/>
          <w:szCs w:val="24"/>
        </w:rPr>
        <w:t xml:space="preserve">Sub1 </w:t>
      </w:r>
      <w:r w:rsidR="00BA70BF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33095A" w:rsidRPr="00D549BA" w:rsidRDefault="007C1A8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B449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36E66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Default="007C1A8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449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36E66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7C1A81" w:rsidRDefault="007C1A81" w:rsidP="007C1A81">
      <w:pPr>
        <w:tabs>
          <w:tab w:val="left" w:pos="944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CB9" w:rsidRDefault="00FD0CB9" w:rsidP="007C1A81">
      <w:pPr>
        <w:tabs>
          <w:tab w:val="left" w:pos="944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B7A" w:rsidRPr="007C1A81" w:rsidRDefault="007C1A81" w:rsidP="007C1A81">
      <w:pPr>
        <w:tabs>
          <w:tab w:val="left" w:pos="944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A81">
        <w:rPr>
          <w:rFonts w:ascii="Times New Roman" w:hAnsi="Times New Roman" w:cs="Times New Roman"/>
          <w:b/>
          <w:sz w:val="24"/>
          <w:szCs w:val="24"/>
        </w:rPr>
        <w:t>Sub2</w:t>
      </w:r>
    </w:p>
    <w:p w:rsidR="0033095A" w:rsidRPr="00D549BA" w:rsidRDefault="007C1A8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36E66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7C1A8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36E66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33095A" w:rsidRPr="00D549BA" w:rsidRDefault="007C1A8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236E66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7C1A81" w:rsidRPr="007C1A81" w:rsidRDefault="007C1A81" w:rsidP="007C1A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36E66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7C1A81" w:rsidRDefault="007C1A81" w:rsidP="007C1A81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CB9" w:rsidRDefault="00FD0CB9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33B7A" w:rsidRPr="00E33B7A" w:rsidRDefault="00626468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Sub3</w:t>
      </w:r>
    </w:p>
    <w:p w:rsidR="00282929" w:rsidRPr="00D549BA" w:rsidRDefault="007C1A81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FD0CB9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82929" w:rsidRPr="00D549BA" w:rsidRDefault="007C1A81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FD0CB9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282929" w:rsidRPr="00D549BA" w:rsidRDefault="007C1A81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6108A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FD0CB9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282929" w:rsidRPr="007C1A81" w:rsidRDefault="007C1A81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108A">
        <w:rPr>
          <w:rFonts w:ascii="Times New Roman" w:hAnsi="Times New Roman" w:cs="Times New Roman"/>
          <w:sz w:val="24"/>
          <w:szCs w:val="24"/>
        </w:rPr>
        <w:t xml:space="preserve">%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FD0CB9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7C1A81" w:rsidRPr="00D549BA" w:rsidRDefault="007C1A81" w:rsidP="007C1A81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CB9" w:rsidRDefault="00FD0CB9" w:rsidP="007C1A8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B7A" w:rsidRPr="007C1A81" w:rsidRDefault="007C1A81" w:rsidP="007C1A8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Sub4</w:t>
      </w:r>
    </w:p>
    <w:p w:rsidR="0033095A" w:rsidRPr="00D549BA" w:rsidRDefault="007C1A8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FD0CB9">
        <w:rPr>
          <w:rFonts w:ascii="Times New Roman" w:hAnsi="Times New Roman" w:cs="Times New Roman"/>
          <w:sz w:val="24"/>
          <w:szCs w:val="24"/>
        </w:rPr>
        <w:t>Sub4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D549BA" w:rsidRDefault="007C1A8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FD0CB9">
        <w:rPr>
          <w:rFonts w:ascii="Times New Roman" w:hAnsi="Times New Roman" w:cs="Times New Roman"/>
          <w:sz w:val="24"/>
          <w:szCs w:val="24"/>
        </w:rPr>
        <w:t>Sub4</w:t>
      </w:r>
      <w:r w:rsidR="0033095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33095A" w:rsidRPr="00D549BA" w:rsidRDefault="007C1A8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</w:t>
      </w:r>
      <w:r w:rsidR="00FD0CB9">
        <w:rPr>
          <w:rFonts w:ascii="Times New Roman" w:hAnsi="Times New Roman" w:cs="Times New Roman"/>
          <w:sz w:val="24"/>
          <w:szCs w:val="24"/>
        </w:rPr>
        <w:t>Sub4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7C1A81" w:rsidRDefault="007C1A8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FD0CB9">
        <w:rPr>
          <w:rFonts w:ascii="Times New Roman" w:hAnsi="Times New Roman" w:cs="Times New Roman"/>
          <w:sz w:val="24"/>
          <w:szCs w:val="24"/>
        </w:rPr>
        <w:t>Sub4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7C1A81" w:rsidRDefault="007C1A81" w:rsidP="007C1A8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A81" w:rsidRPr="007C1A81" w:rsidRDefault="007C1A81" w:rsidP="007C1A8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A81" w:rsidRPr="007C1A81" w:rsidRDefault="007C1A81" w:rsidP="007C1A81">
      <w:pPr>
        <w:tabs>
          <w:tab w:val="left" w:pos="944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A81">
        <w:rPr>
          <w:rFonts w:ascii="Times New Roman" w:hAnsi="Times New Roman" w:cs="Times New Roman"/>
          <w:b/>
          <w:sz w:val="24"/>
          <w:szCs w:val="24"/>
        </w:rPr>
        <w:t>Sub5</w:t>
      </w:r>
    </w:p>
    <w:p w:rsidR="0033095A" w:rsidRPr="00D549BA" w:rsidRDefault="007C1A8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FD0CB9">
        <w:rPr>
          <w:rFonts w:ascii="Times New Roman" w:hAnsi="Times New Roman" w:cs="Times New Roman"/>
          <w:sz w:val="24"/>
          <w:szCs w:val="24"/>
        </w:rPr>
        <w:t>Sub5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D549BA" w:rsidRDefault="007C1A8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</w:t>
      </w:r>
      <w:r w:rsidR="00FD0CB9">
        <w:rPr>
          <w:rFonts w:ascii="Times New Roman" w:hAnsi="Times New Roman" w:cs="Times New Roman"/>
          <w:sz w:val="24"/>
          <w:szCs w:val="24"/>
        </w:rPr>
        <w:t>Sub5</w:t>
      </w:r>
      <w:r w:rsidR="0033095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33095A" w:rsidRPr="00D549BA" w:rsidRDefault="007C1A8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</w:t>
      </w:r>
      <w:r w:rsidR="00FD0CB9">
        <w:rPr>
          <w:rFonts w:ascii="Times New Roman" w:hAnsi="Times New Roman" w:cs="Times New Roman"/>
          <w:sz w:val="24"/>
          <w:szCs w:val="24"/>
        </w:rPr>
        <w:t>Sub5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E33B7A" w:rsidRDefault="007C1A8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</w:t>
      </w:r>
      <w:r w:rsidR="00FD0CB9">
        <w:rPr>
          <w:rFonts w:ascii="Times New Roman" w:hAnsi="Times New Roman" w:cs="Times New Roman"/>
          <w:sz w:val="24"/>
          <w:szCs w:val="24"/>
        </w:rPr>
        <w:t>Sub5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E33B7A" w:rsidRDefault="00E33B7A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B7A" w:rsidRDefault="00E33B7A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B7A" w:rsidRDefault="00E33B7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C1A81" w:rsidRDefault="007C1A81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D0CB9" w:rsidRDefault="00FD0CB9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D0CB9" w:rsidRDefault="00FD0CB9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8776" w:type="dxa"/>
        <w:jc w:val="center"/>
        <w:tblInd w:w="103" w:type="dxa"/>
        <w:tblLook w:val="04A0"/>
      </w:tblPr>
      <w:tblGrid>
        <w:gridCol w:w="1180"/>
        <w:gridCol w:w="881"/>
        <w:gridCol w:w="708"/>
        <w:gridCol w:w="881"/>
        <w:gridCol w:w="677"/>
        <w:gridCol w:w="881"/>
        <w:gridCol w:w="677"/>
        <w:gridCol w:w="881"/>
        <w:gridCol w:w="677"/>
        <w:gridCol w:w="716"/>
        <w:gridCol w:w="617"/>
      </w:tblGrid>
      <w:tr w:rsidR="0006366F" w:rsidRPr="001A2DA3" w:rsidTr="0067394B">
        <w:trPr>
          <w:trHeight w:val="291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6366F" w:rsidRPr="000C6516" w:rsidRDefault="0006366F" w:rsidP="007C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6366F" w:rsidRPr="000C6516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6366F" w:rsidRPr="000C6516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6366F" w:rsidRPr="000C6516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6366F" w:rsidRPr="000C6516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66F" w:rsidRPr="00BA70BF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06366F" w:rsidRPr="001A2DA3" w:rsidTr="0067394B">
        <w:trPr>
          <w:trHeight w:val="291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6366F" w:rsidRPr="001A2DA3" w:rsidRDefault="0006366F" w:rsidP="007C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6366F" w:rsidRPr="001A2DA3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6366F" w:rsidRPr="001A2DA3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6366F" w:rsidRPr="001A2DA3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6366F" w:rsidRPr="001A2DA3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6366F" w:rsidRPr="001A2DA3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6366F" w:rsidRPr="001A2DA3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6366F" w:rsidRPr="001A2DA3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6366F" w:rsidRPr="001A2DA3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6366F" w:rsidRPr="001A2DA3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6366F" w:rsidRPr="001A2DA3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2B0C81" w:rsidRPr="001A2DA3" w:rsidTr="0067394B">
        <w:trPr>
          <w:trHeight w:val="206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C81" w:rsidRPr="001A2DA3" w:rsidRDefault="002B0C81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B0C81" w:rsidRPr="001A2DA3" w:rsidTr="0067394B">
        <w:trPr>
          <w:trHeight w:val="291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C81" w:rsidRPr="001A2DA3" w:rsidRDefault="002B0C81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B0C81" w:rsidRPr="001A2DA3" w:rsidTr="0067394B">
        <w:trPr>
          <w:trHeight w:val="291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C81" w:rsidRPr="001A2DA3" w:rsidRDefault="002B0C81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B0C81" w:rsidRPr="001A2DA3" w:rsidTr="0067394B">
        <w:trPr>
          <w:trHeight w:val="291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C81" w:rsidRPr="001A2DA3" w:rsidRDefault="002B0C81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B0C81" w:rsidRPr="001A2DA3" w:rsidTr="0067394B">
        <w:trPr>
          <w:trHeight w:val="291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C81" w:rsidRPr="001A2DA3" w:rsidRDefault="002B0C81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C81" w:rsidRDefault="002B0C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2B0C81" w:rsidRDefault="002B0C81" w:rsidP="002B0C8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94B" w:rsidRDefault="0067394B" w:rsidP="0067394B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637475" cy="1948070"/>
            <wp:effectExtent l="0" t="0" r="20955" b="146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394B" w:rsidRDefault="0067394B" w:rsidP="0067394B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66F" w:rsidRPr="00E33B7A" w:rsidRDefault="0006366F" w:rsidP="002B0C8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Sub1</w:t>
      </w:r>
    </w:p>
    <w:p w:rsidR="0006366F" w:rsidRPr="00BA70BF" w:rsidRDefault="002B0C81" w:rsidP="000636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6366F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06366F">
        <w:rPr>
          <w:rFonts w:ascii="Times New Roman" w:hAnsi="Times New Roman" w:cs="Times New Roman"/>
          <w:sz w:val="24"/>
          <w:szCs w:val="24"/>
        </w:rPr>
        <w:t xml:space="preserve">rated performance of Sub1 as </w:t>
      </w:r>
      <w:r w:rsidR="0006366F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06366F" w:rsidRPr="00D549BA" w:rsidRDefault="002B0C81" w:rsidP="000636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6366F">
        <w:rPr>
          <w:rFonts w:ascii="Times New Roman" w:hAnsi="Times New Roman" w:cs="Times New Roman"/>
          <w:sz w:val="24"/>
          <w:szCs w:val="24"/>
        </w:rPr>
        <w:t xml:space="preserve">% </w:t>
      </w:r>
      <w:r w:rsidR="0006366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06366F">
        <w:rPr>
          <w:rFonts w:ascii="Times New Roman" w:hAnsi="Times New Roman" w:cs="Times New Roman"/>
          <w:sz w:val="24"/>
          <w:szCs w:val="24"/>
        </w:rPr>
        <w:t xml:space="preserve">d performance of Sub1 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06366F" w:rsidRPr="00D549BA" w:rsidRDefault="002B0C81" w:rsidP="000636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6366F">
        <w:rPr>
          <w:rFonts w:ascii="Times New Roman" w:hAnsi="Times New Roman" w:cs="Times New Roman"/>
          <w:sz w:val="24"/>
          <w:szCs w:val="24"/>
        </w:rPr>
        <w:t>%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6366F">
        <w:rPr>
          <w:rFonts w:ascii="Times New Roman" w:hAnsi="Times New Roman" w:cs="Times New Roman"/>
          <w:sz w:val="24"/>
          <w:szCs w:val="24"/>
        </w:rPr>
        <w:t xml:space="preserve">Sub1 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06366F" w:rsidRDefault="002B0C81" w:rsidP="000636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6366F">
        <w:rPr>
          <w:rFonts w:ascii="Times New Roman" w:hAnsi="Times New Roman" w:cs="Times New Roman"/>
          <w:sz w:val="24"/>
          <w:szCs w:val="24"/>
        </w:rPr>
        <w:t>%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6366F">
        <w:rPr>
          <w:rFonts w:ascii="Times New Roman" w:hAnsi="Times New Roman" w:cs="Times New Roman"/>
          <w:sz w:val="24"/>
          <w:szCs w:val="24"/>
        </w:rPr>
        <w:t xml:space="preserve">Sub1 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2B0C81" w:rsidRDefault="002B0C81" w:rsidP="002B0C8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6F" w:rsidRPr="002B0C81" w:rsidRDefault="002B0C81" w:rsidP="002B0C8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81">
        <w:rPr>
          <w:rFonts w:ascii="Times New Roman" w:hAnsi="Times New Roman" w:cs="Times New Roman"/>
          <w:b/>
          <w:sz w:val="24"/>
          <w:szCs w:val="24"/>
        </w:rPr>
        <w:t>Sub2</w:t>
      </w:r>
    </w:p>
    <w:p w:rsidR="0006366F" w:rsidRPr="00D549BA" w:rsidRDefault="00394916" w:rsidP="000636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6366F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6366F">
        <w:rPr>
          <w:rFonts w:ascii="Times New Roman" w:hAnsi="Times New Roman" w:cs="Times New Roman"/>
          <w:sz w:val="24"/>
          <w:szCs w:val="24"/>
        </w:rPr>
        <w:t xml:space="preserve">Sub2 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06366F" w:rsidRPr="00D549BA" w:rsidRDefault="00394916" w:rsidP="000636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06366F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6366F">
        <w:rPr>
          <w:rFonts w:ascii="Times New Roman" w:hAnsi="Times New Roman" w:cs="Times New Roman"/>
          <w:sz w:val="24"/>
          <w:szCs w:val="24"/>
        </w:rPr>
        <w:t xml:space="preserve"> Sub2</w:t>
      </w:r>
      <w:r w:rsidR="0006366F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06366F" w:rsidRPr="00D549BA" w:rsidRDefault="00394916" w:rsidP="000636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6366F">
        <w:rPr>
          <w:rFonts w:ascii="Times New Roman" w:hAnsi="Times New Roman" w:cs="Times New Roman"/>
          <w:sz w:val="24"/>
          <w:szCs w:val="24"/>
        </w:rPr>
        <w:t>%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06366F">
        <w:rPr>
          <w:rFonts w:ascii="Times New Roman" w:hAnsi="Times New Roman" w:cs="Times New Roman"/>
          <w:sz w:val="24"/>
          <w:szCs w:val="24"/>
        </w:rPr>
        <w:t xml:space="preserve"> Sub2</w:t>
      </w:r>
      <w:r w:rsidR="0006366F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06366F" w:rsidRPr="002B0C81" w:rsidRDefault="00394916" w:rsidP="002B0C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6366F">
        <w:rPr>
          <w:rFonts w:ascii="Times New Roman" w:hAnsi="Times New Roman" w:cs="Times New Roman"/>
          <w:sz w:val="24"/>
          <w:szCs w:val="24"/>
        </w:rPr>
        <w:t>%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the stud</w:t>
      </w:r>
      <w:r w:rsidR="0006366F">
        <w:rPr>
          <w:rFonts w:ascii="Times New Roman" w:hAnsi="Times New Roman" w:cs="Times New Roman"/>
          <w:sz w:val="24"/>
          <w:szCs w:val="24"/>
        </w:rPr>
        <w:t>ents have rated performance of Sub2</w:t>
      </w:r>
      <w:r w:rsidR="0006366F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06366F" w:rsidRPr="00E33B7A" w:rsidRDefault="002B0C81" w:rsidP="0006366F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Sub3</w:t>
      </w:r>
    </w:p>
    <w:p w:rsidR="0006366F" w:rsidRPr="00D549BA" w:rsidRDefault="002B0C81" w:rsidP="000636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="0006366F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6366F">
        <w:rPr>
          <w:rFonts w:ascii="Times New Roman" w:hAnsi="Times New Roman" w:cs="Times New Roman"/>
          <w:sz w:val="24"/>
          <w:szCs w:val="24"/>
        </w:rPr>
        <w:t>Sub3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06366F" w:rsidRPr="00D549BA" w:rsidRDefault="002B0C81" w:rsidP="000636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6366F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6366F">
        <w:rPr>
          <w:rFonts w:ascii="Times New Roman" w:hAnsi="Times New Roman" w:cs="Times New Roman"/>
          <w:sz w:val="24"/>
          <w:szCs w:val="24"/>
        </w:rPr>
        <w:t>Sub3</w:t>
      </w:r>
      <w:r w:rsidR="0006366F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06366F" w:rsidRPr="00D549BA" w:rsidRDefault="002B0C81" w:rsidP="000636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6366F">
        <w:rPr>
          <w:rFonts w:ascii="Times New Roman" w:hAnsi="Times New Roman" w:cs="Times New Roman"/>
          <w:sz w:val="24"/>
          <w:szCs w:val="24"/>
        </w:rPr>
        <w:t>%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6366F">
        <w:rPr>
          <w:rFonts w:ascii="Times New Roman" w:hAnsi="Times New Roman" w:cs="Times New Roman"/>
          <w:sz w:val="24"/>
          <w:szCs w:val="24"/>
        </w:rPr>
        <w:t>Sub3</w:t>
      </w:r>
      <w:r w:rsidR="0006366F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06366F" w:rsidRPr="00D549BA" w:rsidRDefault="002B0C81" w:rsidP="000636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6366F">
        <w:rPr>
          <w:rFonts w:ascii="Times New Roman" w:hAnsi="Times New Roman" w:cs="Times New Roman"/>
          <w:sz w:val="24"/>
          <w:szCs w:val="24"/>
        </w:rPr>
        <w:t xml:space="preserve">% 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06366F">
        <w:rPr>
          <w:rFonts w:ascii="Times New Roman" w:hAnsi="Times New Roman" w:cs="Times New Roman"/>
          <w:sz w:val="24"/>
          <w:szCs w:val="24"/>
        </w:rPr>
        <w:t>Sub3</w:t>
      </w:r>
      <w:r w:rsidR="0006366F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2B0C81" w:rsidRDefault="002B0C81" w:rsidP="002B0C81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C81" w:rsidRPr="002B0C81" w:rsidRDefault="002B0C81" w:rsidP="002B0C81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Sub4</w:t>
      </w:r>
    </w:p>
    <w:p w:rsidR="002B0C81" w:rsidRPr="00D549BA" w:rsidRDefault="002B0C81" w:rsidP="002B0C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2B0C81" w:rsidRPr="00D549BA" w:rsidRDefault="002B0C81" w:rsidP="002B0C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2B0C81" w:rsidRPr="00D549BA" w:rsidRDefault="002B0C81" w:rsidP="002B0C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2B0C81" w:rsidRPr="007C1A81" w:rsidRDefault="002B0C81" w:rsidP="002B0C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2B0C81" w:rsidRDefault="002B0C81" w:rsidP="002B0C81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6366F" w:rsidRPr="00E33B7A" w:rsidRDefault="0006366F" w:rsidP="000636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Sub5</w:t>
      </w:r>
    </w:p>
    <w:p w:rsidR="002B0C81" w:rsidRPr="00D549BA" w:rsidRDefault="002B0C81" w:rsidP="002B0C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394916">
        <w:rPr>
          <w:rFonts w:ascii="Times New Roman" w:hAnsi="Times New Roman" w:cs="Times New Roman"/>
          <w:sz w:val="24"/>
          <w:szCs w:val="24"/>
        </w:rPr>
        <w:t>Sub5</w:t>
      </w:r>
      <w:r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2B0C81" w:rsidRPr="00D549BA" w:rsidRDefault="002B0C81" w:rsidP="002B0C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394916">
        <w:rPr>
          <w:rFonts w:ascii="Times New Roman" w:hAnsi="Times New Roman" w:cs="Times New Roman"/>
          <w:sz w:val="24"/>
          <w:szCs w:val="24"/>
        </w:rPr>
        <w:t>Sub5</w:t>
      </w:r>
      <w:r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2B0C81" w:rsidRPr="00D549BA" w:rsidRDefault="002B0C81" w:rsidP="002B0C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</w:t>
      </w:r>
      <w:r w:rsidR="00394916">
        <w:rPr>
          <w:rFonts w:ascii="Times New Roman" w:hAnsi="Times New Roman" w:cs="Times New Roman"/>
          <w:sz w:val="24"/>
          <w:szCs w:val="24"/>
        </w:rPr>
        <w:t>Sub5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2B0C81" w:rsidRPr="007C1A81" w:rsidRDefault="002B0C81" w:rsidP="002B0C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394916">
        <w:rPr>
          <w:rFonts w:ascii="Times New Roman" w:hAnsi="Times New Roman" w:cs="Times New Roman"/>
          <w:sz w:val="24"/>
          <w:szCs w:val="24"/>
        </w:rPr>
        <w:t>Sub5</w:t>
      </w:r>
      <w:r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06366F" w:rsidRDefault="0006366F" w:rsidP="00063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94B" w:rsidRDefault="0067394B" w:rsidP="00063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94B" w:rsidRDefault="0067394B" w:rsidP="00063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94B" w:rsidRDefault="0067394B" w:rsidP="00063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94B" w:rsidRDefault="0067394B" w:rsidP="00063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94B" w:rsidRDefault="0067394B" w:rsidP="00063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6F" w:rsidRDefault="0006366F" w:rsidP="00063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6F" w:rsidRDefault="0006366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95A" w:rsidRDefault="00274730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Criterion 4</w:t>
      </w:r>
      <w:r w:rsidR="00844ED0">
        <w:rPr>
          <w:b/>
          <w:noProof/>
          <w:sz w:val="24"/>
          <w:szCs w:val="24"/>
          <w:lang w:val="en-IN" w:eastAsia="en-IN"/>
        </w:rPr>
        <w:t>: Infrastructure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 w:rsidR="007141B9">
        <w:rPr>
          <w:b/>
          <w:noProof/>
          <w:sz w:val="24"/>
          <w:szCs w:val="24"/>
          <w:lang w:val="en-IN" w:eastAsia="en-IN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33095A" w:rsidRPr="002F6BDD" w:rsidRDefault="0017056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4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: Infrastructure feedback summary</w:t>
      </w:r>
    </w:p>
    <w:tbl>
      <w:tblPr>
        <w:tblW w:w="8539" w:type="dxa"/>
        <w:jc w:val="center"/>
        <w:tblInd w:w="103" w:type="dxa"/>
        <w:tblLook w:val="04A0"/>
      </w:tblPr>
      <w:tblGrid>
        <w:gridCol w:w="1148"/>
        <w:gridCol w:w="857"/>
        <w:gridCol w:w="689"/>
        <w:gridCol w:w="857"/>
        <w:gridCol w:w="659"/>
        <w:gridCol w:w="857"/>
        <w:gridCol w:w="659"/>
        <w:gridCol w:w="857"/>
        <w:gridCol w:w="659"/>
        <w:gridCol w:w="716"/>
        <w:gridCol w:w="581"/>
      </w:tblGrid>
      <w:tr w:rsidR="000A7BAC" w:rsidRPr="001A2DA3" w:rsidTr="000A7BAC">
        <w:trPr>
          <w:trHeight w:val="28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7BAC" w:rsidRPr="000C6516" w:rsidRDefault="000A7BAC" w:rsidP="000A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A7BAC" w:rsidRPr="000C6516" w:rsidRDefault="000A7BAC" w:rsidP="006B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A7BAC" w:rsidRPr="000C6516" w:rsidRDefault="000A7BAC" w:rsidP="006B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A7BAC" w:rsidRPr="000C6516" w:rsidRDefault="000A7BAC" w:rsidP="006B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A7BAC" w:rsidRPr="000C6516" w:rsidRDefault="000A7BAC" w:rsidP="006B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A7BAC" w:rsidRPr="00BA70BF" w:rsidRDefault="000A7BAC" w:rsidP="006B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0A7BAC" w:rsidRPr="001A2DA3" w:rsidTr="000A7BAC">
        <w:trPr>
          <w:trHeight w:val="28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7BAC" w:rsidRPr="001A2DA3" w:rsidRDefault="000A7BAC" w:rsidP="006B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7BAC" w:rsidRPr="001A2DA3" w:rsidRDefault="000A7BAC" w:rsidP="006B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A7BAC" w:rsidRPr="001A2DA3" w:rsidRDefault="000A7BAC" w:rsidP="006B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7BAC" w:rsidRPr="001A2DA3" w:rsidRDefault="000A7BAC" w:rsidP="006B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A7BAC" w:rsidRPr="001A2DA3" w:rsidRDefault="000A7BAC" w:rsidP="006B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7BAC" w:rsidRPr="001A2DA3" w:rsidRDefault="000A7BAC" w:rsidP="006B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A7BAC" w:rsidRPr="001A2DA3" w:rsidRDefault="000A7BAC" w:rsidP="006B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7BAC" w:rsidRPr="001A2DA3" w:rsidRDefault="000A7BAC" w:rsidP="006B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A7BAC" w:rsidRPr="001A2DA3" w:rsidRDefault="000A7BAC" w:rsidP="006B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A7BAC" w:rsidRPr="001A2DA3" w:rsidRDefault="000A7BAC" w:rsidP="006B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A7BAC" w:rsidRPr="001A2DA3" w:rsidRDefault="000A7BAC" w:rsidP="006B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0A7BAC" w:rsidRPr="001A2DA3" w:rsidTr="000A7BAC">
        <w:trPr>
          <w:trHeight w:val="20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BAC" w:rsidRPr="001A2DA3" w:rsidRDefault="000A7BAC" w:rsidP="006B16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AC" w:rsidRDefault="000A7BAC" w:rsidP="006B16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AC" w:rsidRDefault="000A7BAC" w:rsidP="006B16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BAC" w:rsidRDefault="000A7BAC" w:rsidP="006B16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BAC" w:rsidRDefault="000A7BAC" w:rsidP="006B16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0A7BAC" w:rsidRPr="001A2DA3" w:rsidTr="000A7BAC">
        <w:trPr>
          <w:trHeight w:val="282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BAC" w:rsidRPr="001A2DA3" w:rsidRDefault="000A7BAC" w:rsidP="006B16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AC" w:rsidRDefault="000A7BAC" w:rsidP="006B16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AC" w:rsidRDefault="000A7BAC" w:rsidP="006B16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BAC" w:rsidRDefault="000A7BAC" w:rsidP="006B16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BAC" w:rsidRDefault="000A7BAC" w:rsidP="006B16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0A7BAC" w:rsidRPr="001A2DA3" w:rsidTr="000A7BAC">
        <w:trPr>
          <w:trHeight w:val="282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BAC" w:rsidRPr="001A2DA3" w:rsidRDefault="000A7BAC" w:rsidP="006B16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AC" w:rsidRDefault="000A7BAC" w:rsidP="006B16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AC" w:rsidRDefault="000A7BAC" w:rsidP="006B16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BAC" w:rsidRDefault="000A7BAC" w:rsidP="006B16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BAC" w:rsidRDefault="000A7BAC" w:rsidP="006B16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0A7BAC" w:rsidRPr="001A2DA3" w:rsidTr="000A7BAC">
        <w:trPr>
          <w:trHeight w:val="282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BAC" w:rsidRPr="001A2DA3" w:rsidRDefault="000A7BAC" w:rsidP="006B16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AC" w:rsidRDefault="000A7BAC" w:rsidP="006B16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AC" w:rsidRDefault="000A7BAC" w:rsidP="006B16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BAC" w:rsidRDefault="000A7BAC" w:rsidP="006B16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BAC" w:rsidRDefault="000A7BAC" w:rsidP="006B16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0A7BAC" w:rsidRPr="001A2DA3" w:rsidTr="000A7BAC">
        <w:trPr>
          <w:trHeight w:val="282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BAC" w:rsidRPr="001A2DA3" w:rsidRDefault="000A7BAC" w:rsidP="006B16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AC" w:rsidRDefault="000A7B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AC" w:rsidRDefault="000A7BAC" w:rsidP="006B16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AC" w:rsidRDefault="000A7BAC" w:rsidP="006B16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BAC" w:rsidRDefault="000A7BAC" w:rsidP="006B16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BAC" w:rsidRDefault="000A7BAC" w:rsidP="006B16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0A7BAC" w:rsidRDefault="000A7BAC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AC" w:rsidRDefault="000A7BAC" w:rsidP="000A7B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84250" cy="1971924"/>
            <wp:effectExtent l="0" t="0" r="1651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7BAC" w:rsidRDefault="000A7BAC" w:rsidP="000A7BA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7BAC" w:rsidRPr="00E33B7A" w:rsidRDefault="000A7BAC" w:rsidP="000A7BA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Sub1</w:t>
      </w:r>
    </w:p>
    <w:p w:rsidR="000A7BAC" w:rsidRPr="00BA70BF" w:rsidRDefault="000A7BAC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>
        <w:rPr>
          <w:rFonts w:ascii="Times New Roman" w:hAnsi="Times New Roman" w:cs="Times New Roman"/>
          <w:sz w:val="24"/>
          <w:szCs w:val="24"/>
        </w:rPr>
        <w:t xml:space="preserve">rated performance of Sub1 as </w:t>
      </w:r>
      <w:r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0A7BAC" w:rsidRPr="00D549BA" w:rsidRDefault="000A7BAC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14% </w:t>
      </w:r>
      <w:r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performance of Sub1 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0A7BAC" w:rsidRPr="00D549BA" w:rsidRDefault="000A7BAC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0A7BAC" w:rsidRDefault="000A7BAC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0A7BAC" w:rsidRDefault="000A7BAC" w:rsidP="000A7BAC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BAC" w:rsidRPr="002B0C81" w:rsidRDefault="000A7BAC" w:rsidP="000A7BAC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81">
        <w:rPr>
          <w:rFonts w:ascii="Times New Roman" w:hAnsi="Times New Roman" w:cs="Times New Roman"/>
          <w:b/>
          <w:sz w:val="24"/>
          <w:szCs w:val="24"/>
        </w:rPr>
        <w:t>Sub2</w:t>
      </w:r>
    </w:p>
    <w:p w:rsidR="000A7BAC" w:rsidRPr="00D549BA" w:rsidRDefault="000A7BAC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Sub2 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0A7BAC" w:rsidRPr="00D549BA" w:rsidRDefault="000A7BAC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 Sub2</w:t>
      </w:r>
      <w:r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0A7BAC" w:rsidRPr="00D549BA" w:rsidRDefault="000A7BAC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>
        <w:rPr>
          <w:rFonts w:ascii="Times New Roman" w:hAnsi="Times New Roman" w:cs="Times New Roman"/>
          <w:sz w:val="24"/>
          <w:szCs w:val="24"/>
        </w:rPr>
        <w:t xml:space="preserve"> Sub2</w:t>
      </w:r>
      <w:r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0A7BAC" w:rsidRPr="002B0C81" w:rsidRDefault="000A7BAC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69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</w:t>
      </w:r>
      <w:r>
        <w:rPr>
          <w:rFonts w:ascii="Times New Roman" w:hAnsi="Times New Roman" w:cs="Times New Roman"/>
          <w:sz w:val="24"/>
          <w:szCs w:val="24"/>
        </w:rPr>
        <w:t>ents have rated performance of Sub2</w:t>
      </w:r>
      <w:r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0A7BAC" w:rsidRDefault="000A7BAC" w:rsidP="000A7BAC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A7BAC" w:rsidRPr="00E33B7A" w:rsidRDefault="000A7BAC" w:rsidP="000A7BAC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Sub3</w:t>
      </w:r>
    </w:p>
    <w:p w:rsidR="000A7BAC" w:rsidRPr="00D549BA" w:rsidRDefault="0076569B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0A7BAC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A7BAC">
        <w:rPr>
          <w:rFonts w:ascii="Times New Roman" w:hAnsi="Times New Roman" w:cs="Times New Roman"/>
          <w:sz w:val="24"/>
          <w:szCs w:val="24"/>
        </w:rPr>
        <w:t>Sub3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0A7BAC" w:rsidRPr="00D549BA" w:rsidRDefault="0076569B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A7BAC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A7BAC">
        <w:rPr>
          <w:rFonts w:ascii="Times New Roman" w:hAnsi="Times New Roman" w:cs="Times New Roman"/>
          <w:sz w:val="24"/>
          <w:szCs w:val="24"/>
        </w:rPr>
        <w:t>Sub3</w:t>
      </w:r>
      <w:r w:rsidR="000A7BAC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0A7BAC" w:rsidRPr="00D549BA" w:rsidRDefault="0076569B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0A7BAC">
        <w:rPr>
          <w:rFonts w:ascii="Times New Roman" w:hAnsi="Times New Roman" w:cs="Times New Roman"/>
          <w:sz w:val="24"/>
          <w:szCs w:val="24"/>
        </w:rPr>
        <w:t>%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A7BAC">
        <w:rPr>
          <w:rFonts w:ascii="Times New Roman" w:hAnsi="Times New Roman" w:cs="Times New Roman"/>
          <w:sz w:val="24"/>
          <w:szCs w:val="24"/>
        </w:rPr>
        <w:t>Sub3</w:t>
      </w:r>
      <w:r w:rsidR="000A7BAC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0A7BAC" w:rsidRPr="00D549BA" w:rsidRDefault="0076569B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0A7BAC">
        <w:rPr>
          <w:rFonts w:ascii="Times New Roman" w:hAnsi="Times New Roman" w:cs="Times New Roman"/>
          <w:sz w:val="24"/>
          <w:szCs w:val="24"/>
        </w:rPr>
        <w:t xml:space="preserve">% 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0A7BAC">
        <w:rPr>
          <w:rFonts w:ascii="Times New Roman" w:hAnsi="Times New Roman" w:cs="Times New Roman"/>
          <w:sz w:val="24"/>
          <w:szCs w:val="24"/>
        </w:rPr>
        <w:t>Sub3</w:t>
      </w:r>
      <w:r w:rsidR="000A7BAC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0A7BAC" w:rsidRDefault="000A7BAC" w:rsidP="000A7BAC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BAC" w:rsidRPr="002B0C81" w:rsidRDefault="000A7BAC" w:rsidP="000A7BAC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Sub4</w:t>
      </w:r>
    </w:p>
    <w:p w:rsidR="000A7BAC" w:rsidRPr="00D549BA" w:rsidRDefault="000A7BAC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0A7BAC" w:rsidRPr="00D549BA" w:rsidRDefault="000A7BAC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0A7BAC" w:rsidRPr="00D549BA" w:rsidRDefault="000A7BAC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0A7BAC" w:rsidRPr="007C1A81" w:rsidRDefault="000A7BAC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0A7BAC" w:rsidRDefault="000A7BAC" w:rsidP="000A7BAC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A7BAC" w:rsidRPr="00E33B7A" w:rsidRDefault="000A7BAC" w:rsidP="000A7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Sub5</w:t>
      </w:r>
    </w:p>
    <w:p w:rsidR="000A7BAC" w:rsidRPr="00D549BA" w:rsidRDefault="000A7BAC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Sub5</w:t>
      </w:r>
      <w:r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0A7BAC" w:rsidRPr="00D549BA" w:rsidRDefault="000A7BAC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Sub5</w:t>
      </w:r>
      <w:r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0A7BAC" w:rsidRPr="00D549BA" w:rsidRDefault="000A7BAC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</w:t>
      </w:r>
      <w:r>
        <w:rPr>
          <w:rFonts w:ascii="Times New Roman" w:hAnsi="Times New Roman" w:cs="Times New Roman"/>
          <w:sz w:val="24"/>
          <w:szCs w:val="24"/>
        </w:rPr>
        <w:t>Sub5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0A7BAC" w:rsidRPr="007C1A81" w:rsidRDefault="000A7BAC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>
        <w:rPr>
          <w:rFonts w:ascii="Times New Roman" w:hAnsi="Times New Roman" w:cs="Times New Roman"/>
          <w:sz w:val="24"/>
          <w:szCs w:val="24"/>
        </w:rPr>
        <w:t>Sub5</w:t>
      </w:r>
      <w:r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0A7BAC" w:rsidRDefault="000A7BAC" w:rsidP="000A7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BAC" w:rsidRDefault="000A7BAC" w:rsidP="000A7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BAC" w:rsidRDefault="000A7BAC" w:rsidP="0033095A">
      <w:pPr>
        <w:rPr>
          <w:rFonts w:ascii="Times New Roman" w:hAnsi="Times New Roman" w:cs="Times New Roman"/>
          <w:sz w:val="24"/>
          <w:szCs w:val="24"/>
        </w:rPr>
      </w:pPr>
    </w:p>
    <w:p w:rsidR="004835D7" w:rsidRDefault="004835D7" w:rsidP="004835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5: Overall</w:t>
      </w:r>
    </w:p>
    <w:p w:rsidR="004835D7" w:rsidRDefault="004835D7" w:rsidP="004835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835D7" w:rsidRDefault="004835D7" w:rsidP="004835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76569B" w:rsidRDefault="0076569B" w:rsidP="004835D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4835D7" w:rsidRDefault="00992BD9" w:rsidP="0076569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</w:t>
      </w:r>
      <w:r w:rsidR="003C40D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: </w:t>
      </w:r>
      <w:r w:rsidR="003C40DB" w:rsidRPr="003C40DB">
        <w:rPr>
          <w:noProof/>
          <w:sz w:val="24"/>
          <w:szCs w:val="24"/>
          <w:lang w:val="en-IN" w:eastAsia="en-IN"/>
        </w:rPr>
        <w:t>Overall</w:t>
      </w:r>
      <w:r w:rsidR="004835D7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feedback summary</w:t>
      </w:r>
    </w:p>
    <w:tbl>
      <w:tblPr>
        <w:tblW w:w="5370" w:type="dxa"/>
        <w:jc w:val="center"/>
        <w:tblInd w:w="1008" w:type="dxa"/>
        <w:tblLook w:val="04A0"/>
      </w:tblPr>
      <w:tblGrid>
        <w:gridCol w:w="1485"/>
        <w:gridCol w:w="960"/>
        <w:gridCol w:w="864"/>
        <w:gridCol w:w="289"/>
        <w:gridCol w:w="864"/>
        <w:gridCol w:w="44"/>
        <w:gridCol w:w="864"/>
      </w:tblGrid>
      <w:tr w:rsidR="00434C17" w:rsidRPr="00434C17" w:rsidTr="0076569B">
        <w:trPr>
          <w:trHeight w:val="315"/>
          <w:jc w:val="center"/>
        </w:trPr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17" w:rsidRPr="00434C17" w:rsidRDefault="00434C17" w:rsidP="0076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17" w:rsidRPr="00434C17" w:rsidRDefault="00434C17" w:rsidP="00434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17" w:rsidRPr="00434C17" w:rsidRDefault="00434C17" w:rsidP="00434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569B" w:rsidTr="0076569B">
        <w:trPr>
          <w:gridBefore w:val="1"/>
          <w:gridAfter w:val="1"/>
          <w:wBefore w:w="1485" w:type="dxa"/>
          <w:wAfter w:w="864" w:type="dxa"/>
          <w:trHeight w:val="33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6569B" w:rsidRDefault="0076569B" w:rsidP="006B166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6569B" w:rsidRDefault="0076569B" w:rsidP="006B166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6569B" w:rsidRDefault="0076569B" w:rsidP="006B166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76569B" w:rsidTr="0076569B">
        <w:trPr>
          <w:gridBefore w:val="1"/>
          <w:gridAfter w:val="1"/>
          <w:wBefore w:w="1485" w:type="dxa"/>
          <w:wAfter w:w="864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9B" w:rsidRDefault="0076569B" w:rsidP="007656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9B" w:rsidRDefault="007656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9B" w:rsidRDefault="007656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76569B" w:rsidTr="0076569B">
        <w:trPr>
          <w:gridBefore w:val="1"/>
          <w:gridAfter w:val="1"/>
          <w:wBefore w:w="1485" w:type="dxa"/>
          <w:wAfter w:w="864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9B" w:rsidRDefault="0076569B" w:rsidP="007656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9B" w:rsidRDefault="007656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9B" w:rsidRDefault="007656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76569B" w:rsidTr="0076569B">
        <w:trPr>
          <w:gridBefore w:val="1"/>
          <w:gridAfter w:val="1"/>
          <w:wBefore w:w="1485" w:type="dxa"/>
          <w:wAfter w:w="864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9B" w:rsidRDefault="0076569B" w:rsidP="007656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9B" w:rsidRDefault="007656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9B" w:rsidRDefault="007656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76569B" w:rsidTr="0076569B">
        <w:trPr>
          <w:gridBefore w:val="1"/>
          <w:gridAfter w:val="1"/>
          <w:wBefore w:w="1485" w:type="dxa"/>
          <w:wAfter w:w="864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9B" w:rsidRDefault="0076569B" w:rsidP="007656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9B" w:rsidRDefault="007656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9B" w:rsidRDefault="007656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76569B" w:rsidTr="0076569B">
        <w:trPr>
          <w:gridBefore w:val="1"/>
          <w:gridAfter w:val="1"/>
          <w:wBefore w:w="1485" w:type="dxa"/>
          <w:wAfter w:w="864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9B" w:rsidRDefault="0076569B" w:rsidP="007656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9B" w:rsidRDefault="007656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9B" w:rsidRDefault="007656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434C17" w:rsidRDefault="00434C17" w:rsidP="004835D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18308D" w:rsidRDefault="0076569B" w:rsidP="0076569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4699221" cy="1701579"/>
            <wp:effectExtent l="0" t="0" r="25400" b="1333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308D" w:rsidRDefault="0018308D" w:rsidP="004835D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18308D" w:rsidRPr="00236F1C" w:rsidRDefault="0076569B" w:rsidP="0018308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18308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8308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8308D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18308D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8308D" w:rsidRPr="00236F1C" w:rsidRDefault="0076569B" w:rsidP="0018308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18308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8308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8308D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18308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8308D">
        <w:rPr>
          <w:rFonts w:ascii="Times New Roman" w:hAnsi="Times New Roman" w:cs="Times New Roman"/>
          <w:sz w:val="24"/>
          <w:szCs w:val="24"/>
        </w:rPr>
        <w:t>outstanding</w:t>
      </w:r>
    </w:p>
    <w:p w:rsidR="0018308D" w:rsidRPr="00236F1C" w:rsidRDefault="0076569B" w:rsidP="0018308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8308D">
        <w:rPr>
          <w:rFonts w:ascii="Times New Roman" w:hAnsi="Times New Roman" w:cs="Times New Roman"/>
          <w:sz w:val="24"/>
          <w:szCs w:val="24"/>
        </w:rPr>
        <w:t>%</w:t>
      </w:r>
      <w:r w:rsidR="0018308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8308D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18308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8308D">
        <w:rPr>
          <w:rFonts w:ascii="Times New Roman" w:hAnsi="Times New Roman" w:cs="Times New Roman"/>
          <w:sz w:val="24"/>
          <w:szCs w:val="24"/>
        </w:rPr>
        <w:t>good</w:t>
      </w:r>
    </w:p>
    <w:p w:rsidR="00434C17" w:rsidRPr="00A04BBD" w:rsidRDefault="0076569B" w:rsidP="004835D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308D">
        <w:rPr>
          <w:rFonts w:ascii="Times New Roman" w:hAnsi="Times New Roman" w:cs="Times New Roman"/>
          <w:sz w:val="24"/>
          <w:szCs w:val="24"/>
        </w:rPr>
        <w:t>%</w:t>
      </w:r>
      <w:r w:rsidR="0018308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8308D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18308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8308D">
        <w:rPr>
          <w:rFonts w:ascii="Times New Roman" w:hAnsi="Times New Roman" w:cs="Times New Roman"/>
          <w:sz w:val="24"/>
          <w:szCs w:val="24"/>
        </w:rPr>
        <w:t>average</w:t>
      </w:r>
    </w:p>
    <w:p w:rsidR="00434C17" w:rsidRPr="002F6BDD" w:rsidRDefault="00434C17" w:rsidP="004835D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bookmarkStart w:id="0" w:name="_GoBack"/>
      <w:bookmarkEnd w:id="0"/>
    </w:p>
    <w:sectPr w:rsidR="00434C17" w:rsidRPr="002F6BDD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3095A"/>
    <w:rsid w:val="000328DF"/>
    <w:rsid w:val="0003616F"/>
    <w:rsid w:val="00056A31"/>
    <w:rsid w:val="0006366F"/>
    <w:rsid w:val="00076D43"/>
    <w:rsid w:val="000851E8"/>
    <w:rsid w:val="000929BF"/>
    <w:rsid w:val="000A7BAC"/>
    <w:rsid w:val="000B64FE"/>
    <w:rsid w:val="000C2B1A"/>
    <w:rsid w:val="000C6516"/>
    <w:rsid w:val="000E44B9"/>
    <w:rsid w:val="00137418"/>
    <w:rsid w:val="001519C3"/>
    <w:rsid w:val="00170563"/>
    <w:rsid w:val="00176203"/>
    <w:rsid w:val="0018308D"/>
    <w:rsid w:val="001959AD"/>
    <w:rsid w:val="001A2DA3"/>
    <w:rsid w:val="001C1011"/>
    <w:rsid w:val="001C2BFD"/>
    <w:rsid w:val="001D7A62"/>
    <w:rsid w:val="0020226F"/>
    <w:rsid w:val="00203AC7"/>
    <w:rsid w:val="00211655"/>
    <w:rsid w:val="00211B63"/>
    <w:rsid w:val="002136F6"/>
    <w:rsid w:val="00236E66"/>
    <w:rsid w:val="00254934"/>
    <w:rsid w:val="0026291F"/>
    <w:rsid w:val="00274730"/>
    <w:rsid w:val="00280D6F"/>
    <w:rsid w:val="00282929"/>
    <w:rsid w:val="0029355A"/>
    <w:rsid w:val="00294098"/>
    <w:rsid w:val="002B0C81"/>
    <w:rsid w:val="002C5F68"/>
    <w:rsid w:val="002E23B1"/>
    <w:rsid w:val="002F6BDD"/>
    <w:rsid w:val="0033095A"/>
    <w:rsid w:val="003503F4"/>
    <w:rsid w:val="003679B0"/>
    <w:rsid w:val="00387870"/>
    <w:rsid w:val="003916B4"/>
    <w:rsid w:val="00394916"/>
    <w:rsid w:val="00396CF2"/>
    <w:rsid w:val="003B5B70"/>
    <w:rsid w:val="003C40DB"/>
    <w:rsid w:val="003C5453"/>
    <w:rsid w:val="003E3590"/>
    <w:rsid w:val="004124A3"/>
    <w:rsid w:val="00434583"/>
    <w:rsid w:val="00434C17"/>
    <w:rsid w:val="00454826"/>
    <w:rsid w:val="004664A9"/>
    <w:rsid w:val="00472065"/>
    <w:rsid w:val="00475DDB"/>
    <w:rsid w:val="004835D7"/>
    <w:rsid w:val="00496D52"/>
    <w:rsid w:val="00497DC1"/>
    <w:rsid w:val="004C29A0"/>
    <w:rsid w:val="004E351A"/>
    <w:rsid w:val="004F59B0"/>
    <w:rsid w:val="005811C5"/>
    <w:rsid w:val="00586DC6"/>
    <w:rsid w:val="00591309"/>
    <w:rsid w:val="005A2D95"/>
    <w:rsid w:val="005C0510"/>
    <w:rsid w:val="005D3EB4"/>
    <w:rsid w:val="005F7256"/>
    <w:rsid w:val="006111FB"/>
    <w:rsid w:val="00626468"/>
    <w:rsid w:val="006420CB"/>
    <w:rsid w:val="0065177B"/>
    <w:rsid w:val="00654411"/>
    <w:rsid w:val="0067394B"/>
    <w:rsid w:val="006F5D33"/>
    <w:rsid w:val="007027A3"/>
    <w:rsid w:val="00702D7E"/>
    <w:rsid w:val="00703A66"/>
    <w:rsid w:val="007141B9"/>
    <w:rsid w:val="007323DC"/>
    <w:rsid w:val="00760CEC"/>
    <w:rsid w:val="00761653"/>
    <w:rsid w:val="0076569B"/>
    <w:rsid w:val="00774204"/>
    <w:rsid w:val="007974F4"/>
    <w:rsid w:val="007B39B4"/>
    <w:rsid w:val="007C1A81"/>
    <w:rsid w:val="00810331"/>
    <w:rsid w:val="008126A6"/>
    <w:rsid w:val="00814423"/>
    <w:rsid w:val="008163A4"/>
    <w:rsid w:val="008369F8"/>
    <w:rsid w:val="00844ED0"/>
    <w:rsid w:val="00873F82"/>
    <w:rsid w:val="008973F4"/>
    <w:rsid w:val="008F0803"/>
    <w:rsid w:val="008F193C"/>
    <w:rsid w:val="008F51BA"/>
    <w:rsid w:val="00922384"/>
    <w:rsid w:val="00992BD9"/>
    <w:rsid w:val="00997E70"/>
    <w:rsid w:val="009F10F5"/>
    <w:rsid w:val="009F6E88"/>
    <w:rsid w:val="00A04BBD"/>
    <w:rsid w:val="00A44910"/>
    <w:rsid w:val="00A57479"/>
    <w:rsid w:val="00A815AB"/>
    <w:rsid w:val="00AA3250"/>
    <w:rsid w:val="00AC5421"/>
    <w:rsid w:val="00AD7FD0"/>
    <w:rsid w:val="00AE09EB"/>
    <w:rsid w:val="00B056CC"/>
    <w:rsid w:val="00B20510"/>
    <w:rsid w:val="00B26D14"/>
    <w:rsid w:val="00B43394"/>
    <w:rsid w:val="00B62622"/>
    <w:rsid w:val="00B66F61"/>
    <w:rsid w:val="00B86539"/>
    <w:rsid w:val="00B9613C"/>
    <w:rsid w:val="00BA70BF"/>
    <w:rsid w:val="00BB58E9"/>
    <w:rsid w:val="00C032A1"/>
    <w:rsid w:val="00C03C9E"/>
    <w:rsid w:val="00C12CBA"/>
    <w:rsid w:val="00C512A5"/>
    <w:rsid w:val="00C54FFF"/>
    <w:rsid w:val="00C6108A"/>
    <w:rsid w:val="00C617C6"/>
    <w:rsid w:val="00C778B8"/>
    <w:rsid w:val="00C83516"/>
    <w:rsid w:val="00CA2440"/>
    <w:rsid w:val="00CF1B18"/>
    <w:rsid w:val="00CF496D"/>
    <w:rsid w:val="00CF4EA1"/>
    <w:rsid w:val="00CF5EE0"/>
    <w:rsid w:val="00D03B7F"/>
    <w:rsid w:val="00D06148"/>
    <w:rsid w:val="00D10101"/>
    <w:rsid w:val="00D13EED"/>
    <w:rsid w:val="00D17986"/>
    <w:rsid w:val="00D61140"/>
    <w:rsid w:val="00D61FD2"/>
    <w:rsid w:val="00D702A7"/>
    <w:rsid w:val="00D80C35"/>
    <w:rsid w:val="00D83FF5"/>
    <w:rsid w:val="00DD2786"/>
    <w:rsid w:val="00DE6BE9"/>
    <w:rsid w:val="00DF270E"/>
    <w:rsid w:val="00E14EA6"/>
    <w:rsid w:val="00E32033"/>
    <w:rsid w:val="00E33B7A"/>
    <w:rsid w:val="00E34B79"/>
    <w:rsid w:val="00EB4492"/>
    <w:rsid w:val="00EC2C46"/>
    <w:rsid w:val="00EC75A5"/>
    <w:rsid w:val="00EF0D61"/>
    <w:rsid w:val="00F00C7E"/>
    <w:rsid w:val="00F51018"/>
    <w:rsid w:val="00F643E4"/>
    <w:rsid w:val="00F94030"/>
    <w:rsid w:val="00F96306"/>
    <w:rsid w:val="00FB4723"/>
    <w:rsid w:val="00FC28A7"/>
    <w:rsid w:val="00FD0CB9"/>
    <w:rsid w:val="00FD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2016-17%20Foreign%20languages%20Studen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2016-17%20Foreign%20languages%20Studen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2016-17%20Foreign%20languages%20Student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2016-17%20Foreign%20languages%20Student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2016-17%20Foreign%20languages%20Studen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Sheet1!$A$17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Sheet1!$B$16:$F$16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Sheet1!$B$17:$F$17</c:f>
              <c:numCache>
                <c:formatCode>0</c:formatCode>
                <c:ptCount val="5"/>
                <c:pt idx="0">
                  <c:v>8.6242299794661186</c:v>
                </c:pt>
                <c:pt idx="1">
                  <c:v>9.3385214007782089</c:v>
                </c:pt>
                <c:pt idx="2">
                  <c:v>12.474437627811865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Sheet1!$A$18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Sheet1!$B$16:$F$16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Sheet1!$B$18:$F$18</c:f>
              <c:numCache>
                <c:formatCode>0</c:formatCode>
                <c:ptCount val="5"/>
                <c:pt idx="0">
                  <c:v>28.542094455852158</c:v>
                </c:pt>
                <c:pt idx="1">
                  <c:v>28.210116731517509</c:v>
                </c:pt>
                <c:pt idx="2">
                  <c:v>28.425357873210629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Sheet1!$A$19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Sheet1!$B$16:$F$16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Sheet1!$B$19:$F$19</c:f>
              <c:numCache>
                <c:formatCode>0</c:formatCode>
                <c:ptCount val="5"/>
                <c:pt idx="0">
                  <c:v>42.299794661190965</c:v>
                </c:pt>
                <c:pt idx="1">
                  <c:v>40.661478599221788</c:v>
                </c:pt>
                <c:pt idx="2">
                  <c:v>33.128834355828218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Sheet1!$A$20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Sheet1!$B$16:$F$16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Sheet1!$B$20:$F$20</c:f>
              <c:numCache>
                <c:formatCode>0</c:formatCode>
                <c:ptCount val="5"/>
                <c:pt idx="0">
                  <c:v>20.533880903490765</c:v>
                </c:pt>
                <c:pt idx="1">
                  <c:v>21.789883268482491</c:v>
                </c:pt>
                <c:pt idx="2">
                  <c:v>25.971370143149286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dLbls>
          <c:showVal val="1"/>
        </c:dLbls>
        <c:shape val="box"/>
        <c:axId val="121230080"/>
        <c:axId val="121231616"/>
        <c:axId val="0"/>
      </c:bar3DChart>
      <c:catAx>
        <c:axId val="121230080"/>
        <c:scaling>
          <c:orientation val="minMax"/>
        </c:scaling>
        <c:axPos val="b"/>
        <c:tickLblPos val="nextTo"/>
        <c:crossAx val="121231616"/>
        <c:crosses val="autoZero"/>
        <c:auto val="1"/>
        <c:lblAlgn val="ctr"/>
        <c:lblOffset val="100"/>
      </c:catAx>
      <c:valAx>
        <c:axId val="121231616"/>
        <c:scaling>
          <c:orientation val="minMax"/>
        </c:scaling>
        <c:axPos val="l"/>
        <c:numFmt formatCode="0" sourceLinked="1"/>
        <c:tickLblPos val="nextTo"/>
        <c:crossAx val="1212300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Sheet1!$A$33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Sheet1!$B$32:$F$32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Sheet1!$B$33:$F$33</c:f>
              <c:numCache>
                <c:formatCode>0</c:formatCode>
                <c:ptCount val="5"/>
                <c:pt idx="0">
                  <c:v>5.9420289855072479</c:v>
                </c:pt>
                <c:pt idx="1">
                  <c:v>6.8322981366459627</c:v>
                </c:pt>
                <c:pt idx="2">
                  <c:v>7.2033898305084749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Sheet1!$A$34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Sheet1!$B$32:$F$32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Sheet1!$B$34:$F$34</c:f>
              <c:numCache>
                <c:formatCode>0</c:formatCode>
                <c:ptCount val="5"/>
                <c:pt idx="0">
                  <c:v>17.681159420289855</c:v>
                </c:pt>
                <c:pt idx="1">
                  <c:v>19.099378881987576</c:v>
                </c:pt>
                <c:pt idx="2">
                  <c:v>15.819209039548028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Sheet1!$A$35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Sheet1!$B$32:$F$32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Sheet1!$B$35:$F$35</c:f>
              <c:numCache>
                <c:formatCode>0</c:formatCode>
                <c:ptCount val="5"/>
                <c:pt idx="0">
                  <c:v>26.231884057971023</c:v>
                </c:pt>
                <c:pt idx="1">
                  <c:v>20.496894409937887</c:v>
                </c:pt>
                <c:pt idx="2">
                  <c:v>29.802259887005643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Sheet1!$A$36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Sheet1!$B$32:$F$32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Sheet1!$B$36:$F$36</c:f>
              <c:numCache>
                <c:formatCode>0</c:formatCode>
                <c:ptCount val="5"/>
                <c:pt idx="0">
                  <c:v>50.14492753623189</c:v>
                </c:pt>
                <c:pt idx="1">
                  <c:v>53.571428571428548</c:v>
                </c:pt>
                <c:pt idx="2">
                  <c:v>47.175141242937876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dLbls>
          <c:showVal val="1"/>
        </c:dLbls>
        <c:shape val="box"/>
        <c:axId val="125405056"/>
        <c:axId val="125406592"/>
        <c:axId val="0"/>
      </c:bar3DChart>
      <c:catAx>
        <c:axId val="125405056"/>
        <c:scaling>
          <c:orientation val="minMax"/>
        </c:scaling>
        <c:axPos val="b"/>
        <c:tickLblPos val="nextTo"/>
        <c:crossAx val="125406592"/>
        <c:crosses val="autoZero"/>
        <c:auto val="1"/>
        <c:lblAlgn val="ctr"/>
        <c:lblOffset val="100"/>
      </c:catAx>
      <c:valAx>
        <c:axId val="125406592"/>
        <c:scaling>
          <c:orientation val="minMax"/>
        </c:scaling>
        <c:axPos val="l"/>
        <c:numFmt formatCode="0" sourceLinked="1"/>
        <c:tickLblPos val="nextTo"/>
        <c:crossAx val="1254050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Sheet1!$A$51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Sheet1!$B$50:$F$50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Sheet1!$B$51:$F$51</c:f>
              <c:numCache>
                <c:formatCode>0</c:formatCode>
                <c:ptCount val="5"/>
                <c:pt idx="0">
                  <c:v>19.067796610169481</c:v>
                </c:pt>
                <c:pt idx="1">
                  <c:v>14.968152866242042</c:v>
                </c:pt>
                <c:pt idx="2">
                  <c:v>24.615384615384624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Sheet1!$A$52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Sheet1!$B$50:$F$50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Sheet1!$B$52:$F$52</c:f>
              <c:numCache>
                <c:formatCode>0</c:formatCode>
                <c:ptCount val="5"/>
                <c:pt idx="0">
                  <c:v>31.35593220338982</c:v>
                </c:pt>
                <c:pt idx="1">
                  <c:v>23.248407643312095</c:v>
                </c:pt>
                <c:pt idx="2">
                  <c:v>28.07692307692307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Sheet1!$A$53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Sheet1!$B$50:$F$50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Sheet1!$B$53:$F$53</c:f>
              <c:numCache>
                <c:formatCode>0</c:formatCode>
                <c:ptCount val="5"/>
                <c:pt idx="0">
                  <c:v>23.728813559322024</c:v>
                </c:pt>
                <c:pt idx="1">
                  <c:v>26.114649681528654</c:v>
                </c:pt>
                <c:pt idx="2">
                  <c:v>24.230769230769212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Sheet1!$A$54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Sheet1!$B$50:$F$50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Sheet1!$B$54:$F$54</c:f>
              <c:numCache>
                <c:formatCode>0</c:formatCode>
                <c:ptCount val="5"/>
                <c:pt idx="0">
                  <c:v>25.847457627118651</c:v>
                </c:pt>
                <c:pt idx="1">
                  <c:v>35.668789808917211</c:v>
                </c:pt>
                <c:pt idx="2">
                  <c:v>23.07692307692307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dLbls>
          <c:showVal val="1"/>
        </c:dLbls>
        <c:shape val="box"/>
        <c:axId val="125430784"/>
        <c:axId val="125440768"/>
        <c:axId val="0"/>
      </c:bar3DChart>
      <c:catAx>
        <c:axId val="125430784"/>
        <c:scaling>
          <c:orientation val="minMax"/>
        </c:scaling>
        <c:axPos val="b"/>
        <c:tickLblPos val="nextTo"/>
        <c:crossAx val="125440768"/>
        <c:crosses val="autoZero"/>
        <c:auto val="1"/>
        <c:lblAlgn val="ctr"/>
        <c:lblOffset val="100"/>
      </c:catAx>
      <c:valAx>
        <c:axId val="125440768"/>
        <c:scaling>
          <c:orientation val="minMax"/>
        </c:scaling>
        <c:axPos val="l"/>
        <c:numFmt formatCode="0" sourceLinked="1"/>
        <c:tickLblPos val="nextTo"/>
        <c:crossAx val="1254307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Sheet1!$A$66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Sheet1!$B$65:$F$65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Sheet1!$B$66:$F$66</c:f>
              <c:numCache>
                <c:formatCode>0</c:formatCode>
                <c:ptCount val="5"/>
                <c:pt idx="0">
                  <c:v>49.230769230769248</c:v>
                </c:pt>
                <c:pt idx="1">
                  <c:v>49.5</c:v>
                </c:pt>
                <c:pt idx="2">
                  <c:v>44.626168224299079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Sheet1!$A$67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Sheet1!$B$65:$F$65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Sheet1!$B$67:$F$67</c:f>
              <c:numCache>
                <c:formatCode>0</c:formatCode>
                <c:ptCount val="5"/>
                <c:pt idx="0">
                  <c:v>23.589743589743573</c:v>
                </c:pt>
                <c:pt idx="1">
                  <c:v>21</c:v>
                </c:pt>
                <c:pt idx="2">
                  <c:v>33.411214953271013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Sheet1!$A$68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Sheet1!$B$65:$F$65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Sheet1!$B$68:$F$68</c:f>
              <c:numCache>
                <c:formatCode>0</c:formatCode>
                <c:ptCount val="5"/>
                <c:pt idx="0">
                  <c:v>13.589743589743589</c:v>
                </c:pt>
                <c:pt idx="1">
                  <c:v>14.25</c:v>
                </c:pt>
                <c:pt idx="2">
                  <c:v>10.280373831775698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Sheet1!$A$69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Sheet1!$B$65:$F$65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Sheet1!$B$69:$F$69</c:f>
              <c:numCache>
                <c:formatCode>0</c:formatCode>
                <c:ptCount val="5"/>
                <c:pt idx="0">
                  <c:v>13.589743589743589</c:v>
                </c:pt>
                <c:pt idx="1">
                  <c:v>15.25</c:v>
                </c:pt>
                <c:pt idx="2">
                  <c:v>11.682242990654206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dLbls>
          <c:showVal val="1"/>
        </c:dLbls>
        <c:shape val="box"/>
        <c:axId val="125485440"/>
        <c:axId val="125486976"/>
        <c:axId val="0"/>
      </c:bar3DChart>
      <c:catAx>
        <c:axId val="125485440"/>
        <c:scaling>
          <c:orientation val="minMax"/>
        </c:scaling>
        <c:axPos val="b"/>
        <c:tickLblPos val="nextTo"/>
        <c:crossAx val="125486976"/>
        <c:crosses val="autoZero"/>
        <c:auto val="1"/>
        <c:lblAlgn val="ctr"/>
        <c:lblOffset val="100"/>
      </c:catAx>
      <c:valAx>
        <c:axId val="125486976"/>
        <c:scaling>
          <c:orientation val="minMax"/>
        </c:scaling>
        <c:axPos val="l"/>
        <c:numFmt formatCode="0" sourceLinked="1"/>
        <c:tickLblPos val="nextTo"/>
        <c:crossAx val="1254854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Sheet1!$B$81</c:f>
              <c:strCache>
                <c:ptCount val="1"/>
                <c:pt idx="0">
                  <c:v>Sub1</c:v>
                </c:pt>
              </c:strCache>
            </c:strRef>
          </c:tx>
          <c:dLbls>
            <c:showVal val="1"/>
          </c:dLbls>
          <c:cat>
            <c:strRef>
              <c:f>Sheet1!$A$82:$A$85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Sheet1!$B$82:$B$85</c:f>
              <c:numCache>
                <c:formatCode>0</c:formatCode>
                <c:ptCount val="4"/>
                <c:pt idx="0">
                  <c:v>3.9772727272727271</c:v>
                </c:pt>
                <c:pt idx="1">
                  <c:v>18.939393939393923</c:v>
                </c:pt>
                <c:pt idx="2">
                  <c:v>40.340909090909086</c:v>
                </c:pt>
                <c:pt idx="3">
                  <c:v>36.742424242424256</c:v>
                </c:pt>
              </c:numCache>
            </c:numRef>
          </c:val>
        </c:ser>
        <c:dLbls>
          <c:showVal val="1"/>
        </c:dLbls>
        <c:shape val="box"/>
        <c:axId val="122623872"/>
        <c:axId val="122625408"/>
        <c:axId val="0"/>
      </c:bar3DChart>
      <c:catAx>
        <c:axId val="122623872"/>
        <c:scaling>
          <c:orientation val="minMax"/>
        </c:scaling>
        <c:axPos val="b"/>
        <c:tickLblPos val="nextTo"/>
        <c:crossAx val="122625408"/>
        <c:crosses val="autoZero"/>
        <c:auto val="1"/>
        <c:lblAlgn val="ctr"/>
        <c:lblOffset val="100"/>
      </c:catAx>
      <c:valAx>
        <c:axId val="122625408"/>
        <c:scaling>
          <c:orientation val="minMax"/>
        </c:scaling>
        <c:axPos val="l"/>
        <c:numFmt formatCode="0" sourceLinked="1"/>
        <c:tickLblPos val="nextTo"/>
        <c:crossAx val="1226238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3E41-7AA1-4E81-A786-6C55B3D2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2</cp:revision>
  <dcterms:created xsi:type="dcterms:W3CDTF">2018-06-18T08:20:00Z</dcterms:created>
  <dcterms:modified xsi:type="dcterms:W3CDTF">2018-06-18T08:20:00Z</dcterms:modified>
</cp:coreProperties>
</file>