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DB57EA">
        <w:rPr>
          <w:rFonts w:ascii="Times New Roman" w:hAnsi="Times New Roman" w:cs="Times New Roman"/>
          <w:b/>
          <w:sz w:val="24"/>
          <w:szCs w:val="24"/>
        </w:rPr>
        <w:t>Foreign Language -2015-2016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93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</w:tblGrid>
      <w:tr w:rsidR="00E2322F" w:rsidRPr="00E2322F" w:rsidTr="00E2322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E2322F" w:rsidRPr="00E2322F" w:rsidTr="00E2322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322F" w:rsidRPr="00E2322F" w:rsidRDefault="00E2322F" w:rsidP="00E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B57EA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57EA" w:rsidRPr="00E2322F" w:rsidRDefault="00DB57EA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B57EA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57EA" w:rsidRPr="00E2322F" w:rsidRDefault="00DB57EA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B57EA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57EA" w:rsidRPr="00E2322F" w:rsidRDefault="00DB57EA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B57EA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57EA" w:rsidRPr="00E2322F" w:rsidRDefault="00DB57EA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DB57EA" w:rsidRPr="00E2322F" w:rsidTr="00787E8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57EA" w:rsidRPr="00E2322F" w:rsidRDefault="00DB57EA" w:rsidP="00E2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7EA" w:rsidRDefault="00DB57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96141" w:rsidRPr="00E2322F" w:rsidTr="00E232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41" w:rsidRPr="00E2322F" w:rsidRDefault="00A96141" w:rsidP="00E23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Pr="00E2322F" w:rsidRDefault="00A96141" w:rsidP="00E23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41" w:rsidRDefault="00A96141" w:rsidP="00A9614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3095A" w:rsidRDefault="0033095A" w:rsidP="0033095A">
      <w:pPr>
        <w:tabs>
          <w:tab w:val="left" w:pos="944"/>
        </w:tabs>
        <w:jc w:val="both"/>
        <w:rPr>
          <w:noProof/>
        </w:rPr>
      </w:pPr>
    </w:p>
    <w:p w:rsidR="0000462B" w:rsidRDefault="00151541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929809" cy="2258170"/>
            <wp:effectExtent l="0" t="0" r="23495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45AB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3345AB">
        <w:rPr>
          <w:b/>
          <w:noProof/>
          <w:sz w:val="24"/>
          <w:szCs w:val="24"/>
          <w:lang w:val="en-IN" w:eastAsia="en-IN"/>
        </w:rPr>
        <w:t>m Feedback: sub1</w:t>
      </w:r>
    </w:p>
    <w:p w:rsidR="00873F82" w:rsidRPr="00FC28A7" w:rsidRDefault="00151541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151541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FC28A7" w:rsidRDefault="00151541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345AB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3D7D73"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46790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46790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A7A7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41">
        <w:rPr>
          <w:rFonts w:ascii="Times New Roman" w:hAnsi="Times New Roman" w:cs="Times New Roman"/>
          <w:sz w:val="24"/>
          <w:szCs w:val="24"/>
        </w:rPr>
        <w:t>8</w:t>
      </w:r>
      <w:r w:rsid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D7D7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ED5AC0">
        <w:rPr>
          <w:b/>
          <w:noProof/>
          <w:sz w:val="24"/>
          <w:szCs w:val="24"/>
          <w:lang w:val="en-IN" w:eastAsia="en-IN"/>
        </w:rPr>
        <w:t>sub3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3D7D73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</w:t>
      </w:r>
      <w:r w:rsidR="003D7D73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3C5453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C5453" w:rsidRDefault="00151541" w:rsidP="003C54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C5453" w:rsidRP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894810">
        <w:rPr>
          <w:b/>
          <w:noProof/>
          <w:sz w:val="24"/>
          <w:szCs w:val="24"/>
          <w:lang w:val="en-IN" w:eastAsia="en-IN"/>
        </w:rPr>
        <w:t>sub4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D7D73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D7D73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0C7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894810" w:rsidRDefault="0015154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00C7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894810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26D14">
        <w:rPr>
          <w:rFonts w:ascii="Times New Roman" w:hAnsi="Times New Roman" w:cs="Times New Roman"/>
          <w:sz w:val="24"/>
          <w:szCs w:val="24"/>
        </w:rPr>
        <w:t>average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sub5</w:t>
      </w:r>
    </w:p>
    <w:p w:rsidR="00894810" w:rsidRPr="00873F82" w:rsidRDefault="00894810" w:rsidP="0089481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94810" w:rsidRPr="00236F1C" w:rsidRDefault="00A42AD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1541">
        <w:rPr>
          <w:rFonts w:ascii="Times New Roman" w:hAnsi="Times New Roman" w:cs="Times New Roman"/>
          <w:sz w:val="24"/>
          <w:szCs w:val="24"/>
        </w:rPr>
        <w:t>5</w:t>
      </w:r>
      <w:r w:rsidR="0089481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 xml:space="preserve">sub5 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94810">
        <w:rPr>
          <w:rFonts w:ascii="Times New Roman" w:hAnsi="Times New Roman" w:cs="Times New Roman"/>
          <w:sz w:val="24"/>
          <w:szCs w:val="24"/>
        </w:rPr>
        <w:t>outstanding</w:t>
      </w:r>
    </w:p>
    <w:p w:rsidR="00894810" w:rsidRPr="00236F1C" w:rsidRDefault="0015154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94810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894810" w:rsidRPr="00236F1C" w:rsidRDefault="00151541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4810">
        <w:rPr>
          <w:rFonts w:ascii="Times New Roman" w:hAnsi="Times New Roman" w:cs="Times New Roman"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94810">
        <w:rPr>
          <w:rFonts w:ascii="Times New Roman" w:hAnsi="Times New Roman" w:cs="Times New Roman"/>
          <w:sz w:val="24"/>
          <w:szCs w:val="24"/>
        </w:rPr>
        <w:t>good</w:t>
      </w:r>
    </w:p>
    <w:p w:rsidR="00894810" w:rsidRPr="00894810" w:rsidRDefault="0016079D" w:rsidP="0089481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541">
        <w:rPr>
          <w:rFonts w:ascii="Times New Roman" w:hAnsi="Times New Roman" w:cs="Times New Roman"/>
          <w:sz w:val="24"/>
          <w:szCs w:val="24"/>
        </w:rPr>
        <w:t>8</w:t>
      </w:r>
      <w:r w:rsidR="00894810">
        <w:rPr>
          <w:rFonts w:ascii="Times New Roman" w:hAnsi="Times New Roman" w:cs="Times New Roman"/>
          <w:sz w:val="24"/>
          <w:szCs w:val="24"/>
        </w:rPr>
        <w:t>%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894810">
        <w:rPr>
          <w:rFonts w:ascii="Times New Roman" w:hAnsi="Times New Roman" w:cs="Times New Roman"/>
          <w:sz w:val="24"/>
          <w:szCs w:val="24"/>
        </w:rPr>
        <w:t>sub5</w:t>
      </w:r>
      <w:r w:rsidR="0089481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94810">
        <w:rPr>
          <w:rFonts w:ascii="Times New Roman" w:hAnsi="Times New Roman" w:cs="Times New Roman"/>
          <w:sz w:val="24"/>
          <w:szCs w:val="24"/>
        </w:rPr>
        <w:t>average</w:t>
      </w: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10" w:rsidRPr="00894810" w:rsidRDefault="00894810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D14" w:rsidRPr="00894810" w:rsidRDefault="00B26D14" w:rsidP="0089481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p w:rsidR="0033095A" w:rsidRDefault="0033095A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tbl>
      <w:tblPr>
        <w:tblW w:w="10577" w:type="dxa"/>
        <w:tblInd w:w="-1080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282895" w:rsidRPr="00E2322F" w:rsidTr="00282895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282895" w:rsidRPr="00E2322F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282895" w:rsidRPr="00E2322F" w:rsidRDefault="00282895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22A2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2A2" w:rsidRPr="00E2322F" w:rsidRDefault="00F222A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F222A2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2A2" w:rsidRPr="00E2322F" w:rsidRDefault="00F222A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F222A2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2A2" w:rsidRPr="00E2322F" w:rsidRDefault="00F222A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F222A2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2A2" w:rsidRPr="00E2322F" w:rsidRDefault="00F222A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F222A2" w:rsidTr="00282895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22A2" w:rsidRPr="00E2322F" w:rsidRDefault="00F222A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22A2" w:rsidRDefault="00F222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A54718" w:rsidRPr="00A54718" w:rsidRDefault="00A54718" w:rsidP="00A5471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895" w:rsidRDefault="003716DD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48146" cy="2631882"/>
            <wp:effectExtent l="0" t="0" r="24130" b="165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noProof/>
        </w:rPr>
      </w:pPr>
    </w:p>
    <w:p w:rsidR="00282895" w:rsidRDefault="00282895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0AB1" w:rsidRDefault="00CE0AB1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4411" w:rsidRPr="00E33B7A" w:rsidRDefault="00DA6B07" w:rsidP="0065441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33095A" w:rsidRPr="00BA70BF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DA6B07">
        <w:rPr>
          <w:rFonts w:ascii="Times New Roman" w:hAnsi="Times New Roman" w:cs="Times New Roman"/>
          <w:sz w:val="24"/>
          <w:szCs w:val="24"/>
        </w:rPr>
        <w:t xml:space="preserve"> 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good</w:t>
      </w:r>
    </w:p>
    <w:p w:rsidR="0033095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sub1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 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E33B7A" w:rsidRDefault="00DA6B07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Sub2</w:t>
      </w:r>
    </w:p>
    <w:p w:rsidR="00E33B7A" w:rsidRPr="00D549B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Pr="00D549BA" w:rsidRDefault="00E33B7A" w:rsidP="00E33B7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DA6B07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82929" w:rsidRPr="00D549BA" w:rsidRDefault="003716D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D549BA" w:rsidRDefault="003716D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3716DD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CE0AB1" w:rsidRPr="00F24FDC" w:rsidRDefault="003716DD" w:rsidP="00CE0AB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A6B07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FDC" w:rsidRDefault="00F24FDC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DD" w:rsidRDefault="003716DD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FDC" w:rsidRPr="00CE0AB1" w:rsidRDefault="00CE0AB1" w:rsidP="00CE0AB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Sub4</w:t>
      </w:r>
    </w:p>
    <w:p w:rsidR="00E33B7A" w:rsidRPr="00E33B7A" w:rsidRDefault="00E33B7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959AD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33B7A" w:rsidRPr="00E33B7A" w:rsidRDefault="00CE0AB1" w:rsidP="00330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DA6B07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DA6B07" w:rsidRPr="00D549BA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815AB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3716D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CE0AB1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4E9B" w:rsidRDefault="00FD4E9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7" w:type="dxa"/>
        <w:tblInd w:w="-1080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D34902" w:rsidRPr="00E2322F" w:rsidTr="00787E8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D34902" w:rsidRPr="00E2322F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D34902" w:rsidRPr="00E2322F" w:rsidRDefault="00D34902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E7AC8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AC8" w:rsidRPr="00E2322F" w:rsidRDefault="001E7AC8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1E7AC8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AC8" w:rsidRPr="00E2322F" w:rsidRDefault="001E7AC8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E7AC8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AC8" w:rsidRPr="00E2322F" w:rsidRDefault="001E7AC8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1E7AC8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AC8" w:rsidRPr="00E2322F" w:rsidRDefault="001E7AC8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1E7AC8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AC8" w:rsidRPr="00E2322F" w:rsidRDefault="001E7AC8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E7AC8" w:rsidRDefault="001E7AC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26291F" w:rsidRDefault="0026291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776B6" w:rsidRDefault="00E776B6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D2205" w:rsidRDefault="002D220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CF40E4" w:rsidRDefault="00CF40E4" w:rsidP="00CF40E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CF40E4" w:rsidRPr="00236F1C" w:rsidRDefault="00E776B6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sub1 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E776B6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 sub1 </w:t>
      </w:r>
      <w:proofErr w:type="spellStart"/>
      <w:r w:rsidR="00CF40E4" w:rsidRPr="00236F1C">
        <w:rPr>
          <w:rFonts w:ascii="Times New Roman" w:hAnsi="Times New Roman" w:cs="Times New Roman"/>
          <w:sz w:val="24"/>
          <w:szCs w:val="24"/>
        </w:rPr>
        <w:t>asExcellen</w:t>
      </w:r>
      <w:proofErr w:type="spellEnd"/>
    </w:p>
    <w:p w:rsidR="00CF40E4" w:rsidRPr="00236F1C" w:rsidRDefault="00E776B6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 xml:space="preserve">Project/seminar/assignments of sub1 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Default="00E776B6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F40E4">
        <w:rPr>
          <w:rFonts w:ascii="Times New Roman" w:hAnsi="Times New Roman" w:cs="Times New Roman"/>
          <w:sz w:val="24"/>
          <w:szCs w:val="24"/>
        </w:rPr>
        <w:t xml:space="preserve"> sub1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E776B6" w:rsidRPr="006F5D33" w:rsidRDefault="00E776B6" w:rsidP="00E776B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E776B6" w:rsidRDefault="00E776B6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F339E" w:rsidRPr="00AF339E" w:rsidRDefault="00CE3E24" w:rsidP="00AF33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>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AF339E" w:rsidRDefault="00CE3E24" w:rsidP="00AF33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F40E4" w:rsidRPr="00AF339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AF339E">
        <w:rPr>
          <w:rFonts w:ascii="Times New Roman" w:hAnsi="Times New Roman" w:cs="Times New Roman"/>
          <w:sz w:val="24"/>
          <w:szCs w:val="24"/>
        </w:rPr>
        <w:t xml:space="preserve"> of the students have rated Proj</w:t>
      </w:r>
      <w:r w:rsidR="000C4F22">
        <w:rPr>
          <w:rFonts w:ascii="Times New Roman" w:hAnsi="Times New Roman" w:cs="Times New Roman"/>
          <w:sz w:val="24"/>
          <w:szCs w:val="24"/>
        </w:rPr>
        <w:t>ect/seminar/assignments of  sub2</w:t>
      </w:r>
      <w:r w:rsidR="00CF40E4" w:rsidRPr="00AF339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CF40E4" w:rsidRPr="00AF339E">
        <w:rPr>
          <w:rFonts w:ascii="Times New Roman" w:hAnsi="Times New Roman" w:cs="Times New Roman"/>
          <w:sz w:val="24"/>
          <w:szCs w:val="24"/>
        </w:rPr>
        <w:t>Excellen</w:t>
      </w:r>
      <w:proofErr w:type="spellEnd"/>
    </w:p>
    <w:p w:rsidR="00CF40E4" w:rsidRPr="00236F1C" w:rsidRDefault="00CE3E24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0C4F22">
        <w:rPr>
          <w:rFonts w:ascii="Times New Roman" w:hAnsi="Times New Roman" w:cs="Times New Roman"/>
          <w:sz w:val="24"/>
          <w:szCs w:val="24"/>
        </w:rPr>
        <w:t>ject/seminar/assignments of 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6F5D33" w:rsidRDefault="00CE3E24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F339E" w:rsidRDefault="00AF339E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asExcellen 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0C4F22">
        <w:rPr>
          <w:rFonts w:ascii="Times New Roman" w:hAnsi="Times New Roman" w:cs="Times New Roman"/>
          <w:sz w:val="24"/>
          <w:szCs w:val="24"/>
        </w:rPr>
        <w:t>ject/seminar/assignments of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6F5D33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>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sub4</w:t>
      </w:r>
      <w:r w:rsidR="00CF40E4"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0C4F22">
        <w:rPr>
          <w:rFonts w:ascii="Times New Roman" w:hAnsi="Times New Roman" w:cs="Times New Roman"/>
          <w:sz w:val="24"/>
          <w:szCs w:val="24"/>
        </w:rPr>
        <w:t>ject/seminar/assignments of 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  <w:bookmarkStart w:id="0" w:name="_GoBack"/>
      <w:bookmarkEnd w:id="0"/>
    </w:p>
    <w:p w:rsidR="00CF40E4" w:rsidRPr="006F5D33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5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>sub5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t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sub5</w:t>
      </w:r>
      <w:r w:rsidR="00CF40E4" w:rsidRPr="00236F1C">
        <w:rPr>
          <w:rFonts w:ascii="Times New Roman" w:hAnsi="Times New Roman" w:cs="Times New Roman"/>
          <w:sz w:val="24"/>
          <w:szCs w:val="24"/>
        </w:rPr>
        <w:t>asExcellen</w:t>
      </w:r>
    </w:p>
    <w:p w:rsidR="00CF40E4" w:rsidRPr="00236F1C" w:rsidRDefault="00735781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</w:t>
      </w:r>
      <w:r w:rsidR="000C4F22">
        <w:rPr>
          <w:rFonts w:ascii="Times New Roman" w:hAnsi="Times New Roman" w:cs="Times New Roman"/>
          <w:sz w:val="24"/>
          <w:szCs w:val="24"/>
        </w:rPr>
        <w:t>ject/seminar/assignments of sub5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172661" w:rsidRPr="00775352" w:rsidRDefault="0073578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Project/seminar/assignments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C4F22">
        <w:rPr>
          <w:rFonts w:ascii="Times New Roman" w:hAnsi="Times New Roman" w:cs="Times New Roman"/>
          <w:sz w:val="24"/>
          <w:szCs w:val="24"/>
        </w:rPr>
        <w:t xml:space="preserve"> sub5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CF40E4">
        <w:rPr>
          <w:rFonts w:ascii="Times New Roman" w:hAnsi="Times New Roman" w:cs="Times New Roman"/>
          <w:sz w:val="24"/>
          <w:szCs w:val="24"/>
        </w:rPr>
        <w:t>averag</w:t>
      </w:r>
      <w:proofErr w:type="spellEnd"/>
    </w:p>
    <w:p w:rsidR="002D2205" w:rsidRDefault="002D2205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205" w:rsidRDefault="002D2205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68" w:rsidRDefault="00C83568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568" w:rsidRDefault="00C83568" w:rsidP="00BE7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3F19" w:rsidRDefault="00403F19" w:rsidP="00403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403F19" w:rsidRDefault="00403F19" w:rsidP="00403F19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34D83" w:rsidRDefault="00403F19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Table 4: Overall</w:t>
      </w:r>
      <w:r w:rsidR="006E1F8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</w:t>
      </w:r>
      <w:r w:rsidR="00775352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summa</w:t>
      </w:r>
    </w:p>
    <w:p w:rsidR="00434D83" w:rsidRPr="002D2205" w:rsidRDefault="00434D8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03F19" w:rsidRDefault="00403F1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03F19" w:rsidRDefault="00403F1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83568" w:rsidRDefault="00C8356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83568" w:rsidRDefault="00C8356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83568" w:rsidRDefault="00C8356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83568" w:rsidRDefault="00C8356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83568" w:rsidRDefault="00C83568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10577" w:type="dxa"/>
        <w:tblInd w:w="-1080" w:type="dxa"/>
        <w:tblLook w:val="04A0"/>
      </w:tblPr>
      <w:tblGrid>
        <w:gridCol w:w="960"/>
        <w:gridCol w:w="853"/>
        <w:gridCol w:w="1067"/>
        <w:gridCol w:w="853"/>
        <w:gridCol w:w="1067"/>
        <w:gridCol w:w="853"/>
        <w:gridCol w:w="1067"/>
        <w:gridCol w:w="853"/>
        <w:gridCol w:w="1067"/>
        <w:gridCol w:w="960"/>
        <w:gridCol w:w="960"/>
        <w:gridCol w:w="17"/>
      </w:tblGrid>
      <w:tr w:rsidR="00403F19" w:rsidRPr="00E2322F" w:rsidTr="00787E8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Sub5</w:t>
            </w:r>
          </w:p>
        </w:tc>
      </w:tr>
      <w:tr w:rsidR="00403F19" w:rsidRPr="00E2322F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32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403F19" w:rsidRPr="00E2322F" w:rsidRDefault="00403F19" w:rsidP="0078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73E6D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E6D" w:rsidRPr="00E2322F" w:rsidRDefault="00473E6D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473E6D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E6D" w:rsidRPr="00E2322F" w:rsidRDefault="00473E6D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473E6D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E6D" w:rsidRPr="00E2322F" w:rsidRDefault="00473E6D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473E6D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E6D" w:rsidRPr="00E2322F" w:rsidRDefault="00473E6D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473E6D" w:rsidTr="00787E88">
        <w:trPr>
          <w:gridAfter w:val="1"/>
          <w:wAfter w:w="17" w:type="dxa"/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3E6D" w:rsidRPr="00E2322F" w:rsidRDefault="00473E6D" w:rsidP="0078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E6D" w:rsidRDefault="00473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17A71" w:rsidRDefault="00717A7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40E4" w:rsidRPr="005A666A" w:rsidRDefault="00CF40E4" w:rsidP="00CF40E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Sub1</w:t>
      </w:r>
    </w:p>
    <w:p w:rsidR="00CF40E4" w:rsidRPr="005A666A" w:rsidRDefault="00CF40E4" w:rsidP="00CF40E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sub1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sub1</w:t>
      </w:r>
      <w:r w:rsidR="00CF40E4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F40E4" w:rsidRPr="003C0C4B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sub1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3C0C4B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F40E4" w:rsidRPr="003C0C4B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sub1</w:t>
      </w:r>
      <w:r w:rsidR="00CF40E4" w:rsidRPr="003C0C4B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F40E4" w:rsidRPr="005A666A" w:rsidRDefault="00CF40E4" w:rsidP="00CF40E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E4" w:rsidRPr="005A666A" w:rsidRDefault="00CF40E4" w:rsidP="00CF40E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6A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 xml:space="preserve"> Sub2</w:t>
      </w:r>
    </w:p>
    <w:p w:rsidR="00CF40E4" w:rsidRPr="005A666A" w:rsidRDefault="00CF40E4" w:rsidP="00CF40E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sub2</w:t>
      </w:r>
      <w:r w:rsidR="00CF40E4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sub2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average</w:t>
      </w:r>
    </w:p>
    <w:p w:rsidR="00CF40E4" w:rsidRPr="005A666A" w:rsidRDefault="00CF40E4" w:rsidP="00CF40E4">
      <w:pPr>
        <w:tabs>
          <w:tab w:val="left" w:pos="814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Pr="00F0187F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ind w:left="284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Sub3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F40E4" w:rsidRPr="003C0C4B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3C0C4B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F40E4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r w:rsidR="000C4F22">
        <w:rPr>
          <w:rFonts w:ascii="Times New Roman" w:hAnsi="Times New Roman" w:cs="Times New Roman"/>
          <w:sz w:val="24"/>
          <w:szCs w:val="24"/>
        </w:rPr>
        <w:t>sub3</w:t>
      </w:r>
      <w:r w:rsidR="00CF40E4" w:rsidRPr="003C0C4B">
        <w:rPr>
          <w:rFonts w:ascii="Times New Roman" w:hAnsi="Times New Roman" w:cs="Times New Roman"/>
          <w:sz w:val="24"/>
          <w:szCs w:val="24"/>
        </w:rPr>
        <w:t>as average</w:t>
      </w:r>
    </w:p>
    <w:p w:rsidR="00CF40E4" w:rsidRPr="00F0187F" w:rsidRDefault="00CF40E4" w:rsidP="00F066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Sub4</w:t>
      </w:r>
    </w:p>
    <w:p w:rsidR="00CF40E4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CF40E4" w:rsidRPr="00BA2BB1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sub4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BA2BB1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F40E4" w:rsidRPr="00BA2BB1">
        <w:rPr>
          <w:rFonts w:ascii="Times New Roman" w:hAnsi="Times New Roman" w:cs="Times New Roman"/>
          <w:sz w:val="24"/>
          <w:szCs w:val="24"/>
        </w:rPr>
        <w:t>% of the students have rated 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sub4</w:t>
      </w:r>
      <w:r w:rsidR="00CF40E4" w:rsidRPr="00BA2BB1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CF40E4" w:rsidRPr="00F0187F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CF40E4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 w:rsidRPr="00F0187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t>Sub5</w:t>
      </w:r>
    </w:p>
    <w:p w:rsidR="00CF40E4" w:rsidRPr="00F0187F" w:rsidRDefault="00CF40E4" w:rsidP="00CF40E4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 xml:space="preserve"> sub5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F40E4">
        <w:rPr>
          <w:rFonts w:ascii="Times New Roman" w:hAnsi="Times New Roman" w:cs="Times New Roman"/>
          <w:sz w:val="24"/>
          <w:szCs w:val="24"/>
        </w:rPr>
        <w:t>outstanding</w:t>
      </w:r>
    </w:p>
    <w:p w:rsidR="00CF40E4" w:rsidRPr="00236F1C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40E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sub5</w:t>
      </w:r>
      <w:r w:rsidR="00CF40E4"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CF40E4" w:rsidRPr="003C0C4B" w:rsidRDefault="001A73DF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F40E4">
        <w:rPr>
          <w:rFonts w:ascii="Times New Roman" w:hAnsi="Times New Roman" w:cs="Times New Roman"/>
          <w:sz w:val="24"/>
          <w:szCs w:val="24"/>
        </w:rPr>
        <w:t>%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F40E4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0C4F22">
        <w:rPr>
          <w:rFonts w:ascii="Times New Roman" w:hAnsi="Times New Roman" w:cs="Times New Roman"/>
          <w:sz w:val="24"/>
          <w:szCs w:val="24"/>
        </w:rPr>
        <w:t>sub5</w:t>
      </w:r>
      <w:r w:rsidR="00CF40E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F40E4">
        <w:rPr>
          <w:rFonts w:ascii="Times New Roman" w:hAnsi="Times New Roman" w:cs="Times New Roman"/>
          <w:sz w:val="24"/>
          <w:szCs w:val="24"/>
        </w:rPr>
        <w:t>good</w:t>
      </w:r>
    </w:p>
    <w:p w:rsidR="00CF40E4" w:rsidRPr="003C0C4B" w:rsidRDefault="00F06602" w:rsidP="00CF40E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40E4" w:rsidRPr="003C0C4B">
        <w:rPr>
          <w:rFonts w:ascii="Times New Roman" w:hAnsi="Times New Roman" w:cs="Times New Roman"/>
          <w:sz w:val="24"/>
          <w:szCs w:val="24"/>
        </w:rPr>
        <w:t xml:space="preserve">% of the students have rated Overall facilities in the department </w:t>
      </w:r>
      <w:r w:rsidR="000C4F22">
        <w:rPr>
          <w:rFonts w:ascii="Times New Roman" w:hAnsi="Times New Roman" w:cs="Times New Roman"/>
          <w:sz w:val="24"/>
          <w:szCs w:val="24"/>
        </w:rPr>
        <w:t>sub5</w:t>
      </w:r>
      <w:r w:rsidR="00CF40E4" w:rsidRPr="003C0C4B">
        <w:rPr>
          <w:rFonts w:ascii="Times New Roman" w:hAnsi="Times New Roman" w:cs="Times New Roman"/>
          <w:sz w:val="24"/>
          <w:szCs w:val="24"/>
        </w:rPr>
        <w:t>as average</w:t>
      </w:r>
    </w:p>
    <w:p w:rsidR="00CF40E4" w:rsidRDefault="00CF40E4" w:rsidP="00CF40E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E7DBA" w:rsidRDefault="00BE7DB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21CA5" w:rsidRDefault="00B21CA5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250BB" w:rsidRDefault="001250BB" w:rsidP="00B21CA5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87E88" w:rsidRDefault="00787E88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B53" w:rsidRDefault="00820B53">
      <w:pPr>
        <w:rPr>
          <w:rFonts w:ascii="Times New Roman" w:hAnsi="Times New Roman" w:cs="Times New Roman"/>
          <w:sz w:val="24"/>
          <w:szCs w:val="24"/>
        </w:rPr>
      </w:pPr>
    </w:p>
    <w:p w:rsidR="00261F21" w:rsidRDefault="00261F21">
      <w:pPr>
        <w:rPr>
          <w:rFonts w:ascii="Times New Roman" w:hAnsi="Times New Roman" w:cs="Times New Roman"/>
          <w:sz w:val="24"/>
          <w:szCs w:val="24"/>
        </w:rPr>
      </w:pPr>
    </w:p>
    <w:p w:rsidR="00CF78A3" w:rsidRDefault="00CF78A3">
      <w:pPr>
        <w:rPr>
          <w:rFonts w:ascii="Times New Roman" w:hAnsi="Times New Roman" w:cs="Times New Roman"/>
          <w:sz w:val="24"/>
          <w:szCs w:val="24"/>
        </w:rPr>
      </w:pPr>
    </w:p>
    <w:p w:rsidR="00EF7177" w:rsidRDefault="00EF7177">
      <w:pPr>
        <w:rPr>
          <w:rFonts w:ascii="Times New Roman" w:hAnsi="Times New Roman" w:cs="Times New Roman"/>
          <w:sz w:val="24"/>
          <w:szCs w:val="24"/>
        </w:rPr>
      </w:pPr>
    </w:p>
    <w:p w:rsidR="00434D83" w:rsidRDefault="00434D83">
      <w:pPr>
        <w:rPr>
          <w:rFonts w:ascii="Times New Roman" w:hAnsi="Times New Roman" w:cs="Times New Roman"/>
          <w:sz w:val="24"/>
          <w:szCs w:val="24"/>
        </w:rPr>
      </w:pPr>
    </w:p>
    <w:p w:rsidR="001B6BB1" w:rsidRDefault="001B6BB1">
      <w:pPr>
        <w:rPr>
          <w:rFonts w:ascii="Times New Roman" w:hAnsi="Times New Roman" w:cs="Times New Roman"/>
          <w:sz w:val="24"/>
          <w:szCs w:val="24"/>
        </w:rPr>
      </w:pPr>
    </w:p>
    <w:p w:rsidR="00E776B6" w:rsidRDefault="00E776B6">
      <w:pPr>
        <w:rPr>
          <w:rFonts w:ascii="Times New Roman" w:hAnsi="Times New Roman" w:cs="Times New Roman"/>
          <w:sz w:val="24"/>
          <w:szCs w:val="24"/>
        </w:rPr>
      </w:pPr>
    </w:p>
    <w:p w:rsidR="006A0DE4" w:rsidRDefault="006A0DE4">
      <w:pPr>
        <w:rPr>
          <w:rFonts w:ascii="Times New Roman" w:hAnsi="Times New Roman" w:cs="Times New Roman"/>
          <w:sz w:val="24"/>
          <w:szCs w:val="24"/>
        </w:rPr>
      </w:pPr>
    </w:p>
    <w:p w:rsidR="00AD0892" w:rsidRDefault="00AD0892">
      <w:pPr>
        <w:rPr>
          <w:rFonts w:ascii="Times New Roman" w:hAnsi="Times New Roman" w:cs="Times New Roman"/>
          <w:sz w:val="24"/>
          <w:szCs w:val="24"/>
        </w:rPr>
      </w:pPr>
    </w:p>
    <w:p w:rsidR="00FD7039" w:rsidRDefault="00FD7039">
      <w:pPr>
        <w:rPr>
          <w:rFonts w:ascii="Times New Roman" w:hAnsi="Times New Roman" w:cs="Times New Roman"/>
          <w:sz w:val="24"/>
          <w:szCs w:val="24"/>
        </w:rPr>
      </w:pPr>
    </w:p>
    <w:sectPr w:rsidR="00FD7039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0462B"/>
    <w:rsid w:val="0003616F"/>
    <w:rsid w:val="000415F1"/>
    <w:rsid w:val="00056A31"/>
    <w:rsid w:val="00065B79"/>
    <w:rsid w:val="00072376"/>
    <w:rsid w:val="00076D43"/>
    <w:rsid w:val="000851E8"/>
    <w:rsid w:val="000929BF"/>
    <w:rsid w:val="000B64FE"/>
    <w:rsid w:val="000C2B1A"/>
    <w:rsid w:val="000C4F22"/>
    <w:rsid w:val="000C6516"/>
    <w:rsid w:val="000D1150"/>
    <w:rsid w:val="000E44B9"/>
    <w:rsid w:val="00104648"/>
    <w:rsid w:val="001250BB"/>
    <w:rsid w:val="00137418"/>
    <w:rsid w:val="00151541"/>
    <w:rsid w:val="001519C3"/>
    <w:rsid w:val="0016079D"/>
    <w:rsid w:val="00170563"/>
    <w:rsid w:val="00172661"/>
    <w:rsid w:val="00176203"/>
    <w:rsid w:val="0018308D"/>
    <w:rsid w:val="001959AD"/>
    <w:rsid w:val="001A2DA3"/>
    <w:rsid w:val="001A67F0"/>
    <w:rsid w:val="001A73DF"/>
    <w:rsid w:val="001B2D5D"/>
    <w:rsid w:val="001B6BB1"/>
    <w:rsid w:val="001C1011"/>
    <w:rsid w:val="001C2BFD"/>
    <w:rsid w:val="001E7AC8"/>
    <w:rsid w:val="0020226F"/>
    <w:rsid w:val="00203AC7"/>
    <w:rsid w:val="00211655"/>
    <w:rsid w:val="00211B63"/>
    <w:rsid w:val="002156BA"/>
    <w:rsid w:val="00236707"/>
    <w:rsid w:val="00254934"/>
    <w:rsid w:val="00261F21"/>
    <w:rsid w:val="0026291F"/>
    <w:rsid w:val="00274730"/>
    <w:rsid w:val="00280D6F"/>
    <w:rsid w:val="00282895"/>
    <w:rsid w:val="00282929"/>
    <w:rsid w:val="00283739"/>
    <w:rsid w:val="00284834"/>
    <w:rsid w:val="0028502E"/>
    <w:rsid w:val="0029355A"/>
    <w:rsid w:val="002C5F68"/>
    <w:rsid w:val="002D2205"/>
    <w:rsid w:val="002E23B1"/>
    <w:rsid w:val="002F6BDD"/>
    <w:rsid w:val="0032027F"/>
    <w:rsid w:val="0033095A"/>
    <w:rsid w:val="003345AB"/>
    <w:rsid w:val="003360CE"/>
    <w:rsid w:val="00346790"/>
    <w:rsid w:val="003503F4"/>
    <w:rsid w:val="003679B0"/>
    <w:rsid w:val="003716DD"/>
    <w:rsid w:val="00387870"/>
    <w:rsid w:val="003916B4"/>
    <w:rsid w:val="00396CF2"/>
    <w:rsid w:val="003B5B70"/>
    <w:rsid w:val="003C40DB"/>
    <w:rsid w:val="003C5453"/>
    <w:rsid w:val="003D7D73"/>
    <w:rsid w:val="003E179A"/>
    <w:rsid w:val="003E1AB9"/>
    <w:rsid w:val="003E3590"/>
    <w:rsid w:val="00403F19"/>
    <w:rsid w:val="004124A3"/>
    <w:rsid w:val="00434C17"/>
    <w:rsid w:val="00434D83"/>
    <w:rsid w:val="00454826"/>
    <w:rsid w:val="00472065"/>
    <w:rsid w:val="00473E6D"/>
    <w:rsid w:val="00475DDB"/>
    <w:rsid w:val="004835D7"/>
    <w:rsid w:val="0049234D"/>
    <w:rsid w:val="00496D52"/>
    <w:rsid w:val="00497DC1"/>
    <w:rsid w:val="004A3131"/>
    <w:rsid w:val="004C29A0"/>
    <w:rsid w:val="004D2A01"/>
    <w:rsid w:val="004E351A"/>
    <w:rsid w:val="004F479D"/>
    <w:rsid w:val="004F59B0"/>
    <w:rsid w:val="00534F00"/>
    <w:rsid w:val="00576B56"/>
    <w:rsid w:val="005811C5"/>
    <w:rsid w:val="00591309"/>
    <w:rsid w:val="005C0510"/>
    <w:rsid w:val="005D3EB4"/>
    <w:rsid w:val="006111FB"/>
    <w:rsid w:val="006147DA"/>
    <w:rsid w:val="006253B7"/>
    <w:rsid w:val="0065177B"/>
    <w:rsid w:val="00654411"/>
    <w:rsid w:val="00657B02"/>
    <w:rsid w:val="00673125"/>
    <w:rsid w:val="006A0DE4"/>
    <w:rsid w:val="006A7A7E"/>
    <w:rsid w:val="006E1F85"/>
    <w:rsid w:val="006F5D33"/>
    <w:rsid w:val="007027A3"/>
    <w:rsid w:val="00702D7E"/>
    <w:rsid w:val="00703A66"/>
    <w:rsid w:val="007141B9"/>
    <w:rsid w:val="00717A71"/>
    <w:rsid w:val="007323DC"/>
    <w:rsid w:val="00735781"/>
    <w:rsid w:val="00744055"/>
    <w:rsid w:val="00760CEC"/>
    <w:rsid w:val="00761653"/>
    <w:rsid w:val="00774204"/>
    <w:rsid w:val="00775352"/>
    <w:rsid w:val="00787E88"/>
    <w:rsid w:val="007974F4"/>
    <w:rsid w:val="007978A7"/>
    <w:rsid w:val="007B39B4"/>
    <w:rsid w:val="007E0B42"/>
    <w:rsid w:val="00810331"/>
    <w:rsid w:val="008126A6"/>
    <w:rsid w:val="00820B53"/>
    <w:rsid w:val="00837094"/>
    <w:rsid w:val="00841557"/>
    <w:rsid w:val="00844ED0"/>
    <w:rsid w:val="00873F82"/>
    <w:rsid w:val="00894810"/>
    <w:rsid w:val="008973F4"/>
    <w:rsid w:val="008C5590"/>
    <w:rsid w:val="008F0803"/>
    <w:rsid w:val="008F193C"/>
    <w:rsid w:val="008F51BA"/>
    <w:rsid w:val="009411BB"/>
    <w:rsid w:val="00992BD9"/>
    <w:rsid w:val="00997E70"/>
    <w:rsid w:val="009F10F5"/>
    <w:rsid w:val="00A04BBD"/>
    <w:rsid w:val="00A42AD1"/>
    <w:rsid w:val="00A54718"/>
    <w:rsid w:val="00A57479"/>
    <w:rsid w:val="00A74C17"/>
    <w:rsid w:val="00A815AB"/>
    <w:rsid w:val="00A96141"/>
    <w:rsid w:val="00AA3250"/>
    <w:rsid w:val="00AC5421"/>
    <w:rsid w:val="00AD0892"/>
    <w:rsid w:val="00AD7FD0"/>
    <w:rsid w:val="00AE09EB"/>
    <w:rsid w:val="00AF0730"/>
    <w:rsid w:val="00AF339E"/>
    <w:rsid w:val="00B056CC"/>
    <w:rsid w:val="00B21CA5"/>
    <w:rsid w:val="00B26D14"/>
    <w:rsid w:val="00B275C5"/>
    <w:rsid w:val="00B43394"/>
    <w:rsid w:val="00B62622"/>
    <w:rsid w:val="00B80AB8"/>
    <w:rsid w:val="00B86539"/>
    <w:rsid w:val="00B93351"/>
    <w:rsid w:val="00B957FE"/>
    <w:rsid w:val="00B9613C"/>
    <w:rsid w:val="00BA70BF"/>
    <w:rsid w:val="00BB58E9"/>
    <w:rsid w:val="00BD0CA4"/>
    <w:rsid w:val="00BE7DBA"/>
    <w:rsid w:val="00C032A1"/>
    <w:rsid w:val="00C12CBA"/>
    <w:rsid w:val="00C512A5"/>
    <w:rsid w:val="00C54FFF"/>
    <w:rsid w:val="00C6108A"/>
    <w:rsid w:val="00C617C6"/>
    <w:rsid w:val="00C778B8"/>
    <w:rsid w:val="00C83516"/>
    <w:rsid w:val="00C83568"/>
    <w:rsid w:val="00CA2440"/>
    <w:rsid w:val="00CB1D68"/>
    <w:rsid w:val="00CE0AB1"/>
    <w:rsid w:val="00CE3E24"/>
    <w:rsid w:val="00CF1B18"/>
    <w:rsid w:val="00CF40E4"/>
    <w:rsid w:val="00CF496D"/>
    <w:rsid w:val="00CF4EA1"/>
    <w:rsid w:val="00CF78A3"/>
    <w:rsid w:val="00D03B7F"/>
    <w:rsid w:val="00D06148"/>
    <w:rsid w:val="00D10101"/>
    <w:rsid w:val="00D13EED"/>
    <w:rsid w:val="00D17986"/>
    <w:rsid w:val="00D34902"/>
    <w:rsid w:val="00D61140"/>
    <w:rsid w:val="00D61FD2"/>
    <w:rsid w:val="00D702A7"/>
    <w:rsid w:val="00D75F7C"/>
    <w:rsid w:val="00D83FF5"/>
    <w:rsid w:val="00DA6B07"/>
    <w:rsid w:val="00DB57EA"/>
    <w:rsid w:val="00DD2786"/>
    <w:rsid w:val="00DE6BE9"/>
    <w:rsid w:val="00DE76AE"/>
    <w:rsid w:val="00DF270E"/>
    <w:rsid w:val="00E04ADB"/>
    <w:rsid w:val="00E14EA6"/>
    <w:rsid w:val="00E2322F"/>
    <w:rsid w:val="00E32033"/>
    <w:rsid w:val="00E33B7A"/>
    <w:rsid w:val="00E34B79"/>
    <w:rsid w:val="00E56343"/>
    <w:rsid w:val="00E776B6"/>
    <w:rsid w:val="00E91E42"/>
    <w:rsid w:val="00E93A70"/>
    <w:rsid w:val="00EA6958"/>
    <w:rsid w:val="00EB4492"/>
    <w:rsid w:val="00EC75A5"/>
    <w:rsid w:val="00ED5AC0"/>
    <w:rsid w:val="00EF0D61"/>
    <w:rsid w:val="00EF7177"/>
    <w:rsid w:val="00F00C7E"/>
    <w:rsid w:val="00F06602"/>
    <w:rsid w:val="00F222A2"/>
    <w:rsid w:val="00F24FDC"/>
    <w:rsid w:val="00F45553"/>
    <w:rsid w:val="00F45D55"/>
    <w:rsid w:val="00F51018"/>
    <w:rsid w:val="00F643E4"/>
    <w:rsid w:val="00F668E7"/>
    <w:rsid w:val="00F96306"/>
    <w:rsid w:val="00FB4723"/>
    <w:rsid w:val="00FC28A7"/>
    <w:rsid w:val="00FD4E9B"/>
    <w:rsid w:val="00FD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2\Desktop\New%20folder\Foreign%20language%20all%20excel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Sheet3!$A$13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Sheet3!$B$13:$F$13</c:f>
              <c:numCache>
                <c:formatCode>0</c:formatCode>
                <c:ptCount val="5"/>
                <c:pt idx="0">
                  <c:v>24.691358024691365</c:v>
                </c:pt>
                <c:pt idx="1">
                  <c:v>18.35443037974683</c:v>
                </c:pt>
                <c:pt idx="2">
                  <c:v>20.567375886524822</c:v>
                </c:pt>
                <c:pt idx="3">
                  <c:v>29.032258064516135</c:v>
                </c:pt>
                <c:pt idx="4">
                  <c:v>17.777777777777779</c:v>
                </c:pt>
              </c:numCache>
            </c:numRef>
          </c:val>
        </c:ser>
        <c:ser>
          <c:idx val="1"/>
          <c:order val="1"/>
          <c:tx>
            <c:strRef>
              <c:f>Sheet3!$A$14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Sheet3!$B$14:$F$14</c:f>
              <c:numCache>
                <c:formatCode>0</c:formatCode>
                <c:ptCount val="5"/>
                <c:pt idx="0">
                  <c:v>19.1358024691358</c:v>
                </c:pt>
                <c:pt idx="1">
                  <c:v>14.556962025316455</c:v>
                </c:pt>
                <c:pt idx="2">
                  <c:v>12.76595744680851</c:v>
                </c:pt>
                <c:pt idx="3">
                  <c:v>11.290322580645157</c:v>
                </c:pt>
                <c:pt idx="4">
                  <c:v>10.370370370370368</c:v>
                </c:pt>
              </c:numCache>
            </c:numRef>
          </c:val>
        </c:ser>
        <c:ser>
          <c:idx val="2"/>
          <c:order val="2"/>
          <c:tx>
            <c:strRef>
              <c:f>Sheet3!$A$15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Sheet3!$B$15:$F$15</c:f>
              <c:numCache>
                <c:formatCode>0</c:formatCode>
                <c:ptCount val="5"/>
                <c:pt idx="0">
                  <c:v>14.814814814814817</c:v>
                </c:pt>
                <c:pt idx="1">
                  <c:v>24.050632911392402</c:v>
                </c:pt>
                <c:pt idx="2">
                  <c:v>16.312056737588655</c:v>
                </c:pt>
                <c:pt idx="3">
                  <c:v>25</c:v>
                </c:pt>
                <c:pt idx="4">
                  <c:v>26.666666666666668</c:v>
                </c:pt>
              </c:numCache>
            </c:numRef>
          </c:val>
        </c:ser>
        <c:ser>
          <c:idx val="3"/>
          <c:order val="3"/>
          <c:tx>
            <c:strRef>
              <c:f>Sheet3!$A$16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Sheet3!$B$12:$F$12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Sheet3!$B$16:$F$16</c:f>
              <c:numCache>
                <c:formatCode>0</c:formatCode>
                <c:ptCount val="5"/>
                <c:pt idx="0">
                  <c:v>41.358024691358004</c:v>
                </c:pt>
                <c:pt idx="1">
                  <c:v>43.037974683544292</c:v>
                </c:pt>
                <c:pt idx="2">
                  <c:v>50.354609929077995</c:v>
                </c:pt>
                <c:pt idx="3">
                  <c:v>34.677419354838712</c:v>
                </c:pt>
                <c:pt idx="4">
                  <c:v>45.185185185185183</c:v>
                </c:pt>
              </c:numCache>
            </c:numRef>
          </c:val>
        </c:ser>
        <c:dLbls>
          <c:showVal val="1"/>
        </c:dLbls>
        <c:gapWidth val="75"/>
        <c:shape val="cylinder"/>
        <c:axId val="117629312"/>
        <c:axId val="117630848"/>
        <c:axId val="0"/>
      </c:bar3DChart>
      <c:catAx>
        <c:axId val="117629312"/>
        <c:scaling>
          <c:orientation val="minMax"/>
        </c:scaling>
        <c:axPos val="b"/>
        <c:majorTickMark val="none"/>
        <c:tickLblPos val="nextTo"/>
        <c:crossAx val="117630848"/>
        <c:crosses val="autoZero"/>
        <c:auto val="1"/>
        <c:lblAlgn val="ctr"/>
        <c:lblOffset val="100"/>
      </c:catAx>
      <c:valAx>
        <c:axId val="117630848"/>
        <c:scaling>
          <c:orientation val="minMax"/>
        </c:scaling>
        <c:axPos val="l"/>
        <c:numFmt formatCode="0" sourceLinked="1"/>
        <c:majorTickMark val="none"/>
        <c:tickLblPos val="nextTo"/>
        <c:crossAx val="1176293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Sheet3!$H$13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Sheet3!$I$13:$M$13</c:f>
              <c:numCache>
                <c:formatCode>0</c:formatCode>
                <c:ptCount val="5"/>
                <c:pt idx="0">
                  <c:v>20.833333333333325</c:v>
                </c:pt>
                <c:pt idx="1">
                  <c:v>26.696832579185514</c:v>
                </c:pt>
                <c:pt idx="2">
                  <c:v>18.181818181818194</c:v>
                </c:pt>
                <c:pt idx="3">
                  <c:v>21.028037383177562</c:v>
                </c:pt>
                <c:pt idx="4">
                  <c:v>20.603015075376884</c:v>
                </c:pt>
              </c:numCache>
            </c:numRef>
          </c:val>
        </c:ser>
        <c:ser>
          <c:idx val="1"/>
          <c:order val="1"/>
          <c:tx>
            <c:strRef>
              <c:f>Sheet3!$H$14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Sheet3!$I$14:$M$14</c:f>
              <c:numCache>
                <c:formatCode>0</c:formatCode>
                <c:ptCount val="5"/>
                <c:pt idx="0">
                  <c:v>7.4074074074074066</c:v>
                </c:pt>
                <c:pt idx="1">
                  <c:v>11.312217194570135</c:v>
                </c:pt>
                <c:pt idx="2">
                  <c:v>17.112299465240646</c:v>
                </c:pt>
                <c:pt idx="3">
                  <c:v>16.355140186915886</c:v>
                </c:pt>
                <c:pt idx="4">
                  <c:v>16.582914572864311</c:v>
                </c:pt>
              </c:numCache>
            </c:numRef>
          </c:val>
        </c:ser>
        <c:ser>
          <c:idx val="2"/>
          <c:order val="2"/>
          <c:tx>
            <c:strRef>
              <c:f>Sheet3!$H$15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Sheet3!$I$15:$M$15</c:f>
              <c:numCache>
                <c:formatCode>0</c:formatCode>
                <c:ptCount val="5"/>
                <c:pt idx="0">
                  <c:v>16.666666666666664</c:v>
                </c:pt>
                <c:pt idx="1">
                  <c:v>19.909502262443432</c:v>
                </c:pt>
                <c:pt idx="2">
                  <c:v>20.320855614973265</c:v>
                </c:pt>
                <c:pt idx="3">
                  <c:v>27.102803738317753</c:v>
                </c:pt>
                <c:pt idx="4">
                  <c:v>23.618090452261306</c:v>
                </c:pt>
              </c:numCache>
            </c:numRef>
          </c:val>
        </c:ser>
        <c:ser>
          <c:idx val="3"/>
          <c:order val="3"/>
          <c:tx>
            <c:strRef>
              <c:f>Sheet3!$H$16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Sheet3!$I$12:$M$12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Sheet3!$I$16:$M$16</c:f>
              <c:numCache>
                <c:formatCode>0</c:formatCode>
                <c:ptCount val="5"/>
                <c:pt idx="0">
                  <c:v>55.092592592592602</c:v>
                </c:pt>
                <c:pt idx="1">
                  <c:v>42.08144796380089</c:v>
                </c:pt>
                <c:pt idx="2">
                  <c:v>44.385026737967905</c:v>
                </c:pt>
                <c:pt idx="3">
                  <c:v>35.514018691588781</c:v>
                </c:pt>
                <c:pt idx="4">
                  <c:v>39.195979899497488</c:v>
                </c:pt>
              </c:numCache>
            </c:numRef>
          </c:val>
        </c:ser>
        <c:dLbls>
          <c:showVal val="1"/>
        </c:dLbls>
        <c:gapWidth val="75"/>
        <c:shape val="cylinder"/>
        <c:axId val="118830592"/>
        <c:axId val="118832128"/>
        <c:axId val="0"/>
      </c:bar3DChart>
      <c:catAx>
        <c:axId val="118830592"/>
        <c:scaling>
          <c:orientation val="minMax"/>
        </c:scaling>
        <c:axPos val="b"/>
        <c:majorTickMark val="none"/>
        <c:tickLblPos val="nextTo"/>
        <c:crossAx val="118832128"/>
        <c:crosses val="autoZero"/>
        <c:auto val="1"/>
        <c:lblAlgn val="ctr"/>
        <c:lblOffset val="100"/>
      </c:catAx>
      <c:valAx>
        <c:axId val="118832128"/>
        <c:scaling>
          <c:orientation val="minMax"/>
        </c:scaling>
        <c:axPos val="l"/>
        <c:numFmt formatCode="0" sourceLinked="1"/>
        <c:majorTickMark val="none"/>
        <c:tickLblPos val="nextTo"/>
        <c:crossAx val="1188305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Sheet3!$O$13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Sheet3!$P$13:$T$13</c:f>
              <c:numCache>
                <c:formatCode>0</c:formatCode>
                <c:ptCount val="5"/>
                <c:pt idx="0">
                  <c:v>18.840579710144929</c:v>
                </c:pt>
                <c:pt idx="1">
                  <c:v>23.4375</c:v>
                </c:pt>
                <c:pt idx="2">
                  <c:v>22.950819672131132</c:v>
                </c:pt>
                <c:pt idx="3">
                  <c:v>27.777777777777779</c:v>
                </c:pt>
                <c:pt idx="4">
                  <c:v>14.035087719298252</c:v>
                </c:pt>
              </c:numCache>
            </c:numRef>
          </c:val>
        </c:ser>
        <c:ser>
          <c:idx val="1"/>
          <c:order val="1"/>
          <c:tx>
            <c:strRef>
              <c:f>Sheet3!$O$14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Sheet3!$P$14:$T$14</c:f>
              <c:numCache>
                <c:formatCode>0</c:formatCode>
                <c:ptCount val="5"/>
                <c:pt idx="0">
                  <c:v>13.043478260869565</c:v>
                </c:pt>
                <c:pt idx="1">
                  <c:v>12.5</c:v>
                </c:pt>
                <c:pt idx="2">
                  <c:v>9.8360655737704921</c:v>
                </c:pt>
                <c:pt idx="3">
                  <c:v>23.611111111111118</c:v>
                </c:pt>
                <c:pt idx="4">
                  <c:v>15.789473684210519</c:v>
                </c:pt>
              </c:numCache>
            </c:numRef>
          </c:val>
        </c:ser>
        <c:ser>
          <c:idx val="2"/>
          <c:order val="2"/>
          <c:tx>
            <c:strRef>
              <c:f>Sheet3!$O$15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Sheet3!$P$15:$T$15</c:f>
              <c:numCache>
                <c:formatCode>0</c:formatCode>
                <c:ptCount val="5"/>
                <c:pt idx="0">
                  <c:v>10.144927536231881</c:v>
                </c:pt>
                <c:pt idx="1">
                  <c:v>26.562499999999989</c:v>
                </c:pt>
                <c:pt idx="2">
                  <c:v>18.032786885245887</c:v>
                </c:pt>
                <c:pt idx="3">
                  <c:v>15.277777777777775</c:v>
                </c:pt>
                <c:pt idx="4">
                  <c:v>17.543859649122798</c:v>
                </c:pt>
              </c:numCache>
            </c:numRef>
          </c:val>
        </c:ser>
        <c:ser>
          <c:idx val="3"/>
          <c:order val="3"/>
          <c:tx>
            <c:strRef>
              <c:f>Sheet3!$O$16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Sheet3!$P$12:$T$12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Sheet3!$P$16:$T$16</c:f>
              <c:numCache>
                <c:formatCode>0</c:formatCode>
                <c:ptCount val="5"/>
                <c:pt idx="0">
                  <c:v>57.971014492753604</c:v>
                </c:pt>
                <c:pt idx="1">
                  <c:v>37.5</c:v>
                </c:pt>
                <c:pt idx="2">
                  <c:v>49.180327868852444</c:v>
                </c:pt>
                <c:pt idx="3">
                  <c:v>33.333333333333329</c:v>
                </c:pt>
                <c:pt idx="4">
                  <c:v>52.631578947368418</c:v>
                </c:pt>
              </c:numCache>
            </c:numRef>
          </c:val>
        </c:ser>
        <c:dLbls>
          <c:showVal val="1"/>
        </c:dLbls>
        <c:gapWidth val="75"/>
        <c:shape val="cylinder"/>
        <c:axId val="118876800"/>
        <c:axId val="119603584"/>
        <c:axId val="0"/>
      </c:bar3DChart>
      <c:catAx>
        <c:axId val="118876800"/>
        <c:scaling>
          <c:orientation val="minMax"/>
        </c:scaling>
        <c:axPos val="b"/>
        <c:majorTickMark val="none"/>
        <c:tickLblPos val="nextTo"/>
        <c:crossAx val="119603584"/>
        <c:crosses val="autoZero"/>
        <c:auto val="1"/>
        <c:lblAlgn val="ctr"/>
        <c:lblOffset val="100"/>
      </c:catAx>
      <c:valAx>
        <c:axId val="119603584"/>
        <c:scaling>
          <c:orientation val="minMax"/>
        </c:scaling>
        <c:axPos val="l"/>
        <c:numFmt formatCode="0" sourceLinked="1"/>
        <c:majorTickMark val="none"/>
        <c:tickLblPos val="nextTo"/>
        <c:crossAx val="1188768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Sheet3!$V$13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Sheet3!$W$13:$AA$13</c:f>
              <c:numCache>
                <c:formatCode>0</c:formatCode>
                <c:ptCount val="5"/>
                <c:pt idx="0">
                  <c:v>30.434782608695656</c:v>
                </c:pt>
                <c:pt idx="1">
                  <c:v>23.404255319148938</c:v>
                </c:pt>
                <c:pt idx="2">
                  <c:v>24.390243902439018</c:v>
                </c:pt>
                <c:pt idx="3">
                  <c:v>27.906976744186046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Sheet3!$V$14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Sheet3!$W$14:$AA$14</c:f>
              <c:numCache>
                <c:formatCode>0</c:formatCode>
                <c:ptCount val="5"/>
                <c:pt idx="0">
                  <c:v>8.6956521739130448</c:v>
                </c:pt>
                <c:pt idx="1">
                  <c:v>10.638297872340422</c:v>
                </c:pt>
                <c:pt idx="2">
                  <c:v>12.195121951219511</c:v>
                </c:pt>
                <c:pt idx="3">
                  <c:v>11.627906976744185</c:v>
                </c:pt>
                <c:pt idx="4">
                  <c:v>28.000000000000004</c:v>
                </c:pt>
              </c:numCache>
            </c:numRef>
          </c:val>
        </c:ser>
        <c:ser>
          <c:idx val="2"/>
          <c:order val="2"/>
          <c:tx>
            <c:strRef>
              <c:f>Sheet3!$V$15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Sheet3!$W$15:$AA$15</c:f>
              <c:numCache>
                <c:formatCode>0</c:formatCode>
                <c:ptCount val="5"/>
                <c:pt idx="0">
                  <c:v>15.217391304347823</c:v>
                </c:pt>
                <c:pt idx="1">
                  <c:v>29.78723404255318</c:v>
                </c:pt>
                <c:pt idx="2">
                  <c:v>29.268292682926813</c:v>
                </c:pt>
                <c:pt idx="3">
                  <c:v>27.906976744186046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Sheet3!$V$16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Sheet3!$W$12:$AA$12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Sheet3!$W$16:$AA$16</c:f>
              <c:numCache>
                <c:formatCode>0</c:formatCode>
                <c:ptCount val="5"/>
                <c:pt idx="0">
                  <c:v>45.652173913043477</c:v>
                </c:pt>
                <c:pt idx="1">
                  <c:v>36.170212765957451</c:v>
                </c:pt>
                <c:pt idx="2">
                  <c:v>34.146341463414608</c:v>
                </c:pt>
                <c:pt idx="3">
                  <c:v>32.558139534883736</c:v>
                </c:pt>
                <c:pt idx="4">
                  <c:v>32</c:v>
                </c:pt>
              </c:numCache>
            </c:numRef>
          </c:val>
        </c:ser>
        <c:dLbls>
          <c:showVal val="1"/>
        </c:dLbls>
        <c:gapWidth val="75"/>
        <c:shape val="cylinder"/>
        <c:axId val="119648256"/>
        <c:axId val="119649792"/>
        <c:axId val="0"/>
      </c:bar3DChart>
      <c:catAx>
        <c:axId val="119648256"/>
        <c:scaling>
          <c:orientation val="minMax"/>
        </c:scaling>
        <c:axPos val="b"/>
        <c:majorTickMark val="none"/>
        <c:tickLblPos val="nextTo"/>
        <c:crossAx val="119649792"/>
        <c:crosses val="autoZero"/>
        <c:auto val="1"/>
        <c:lblAlgn val="ctr"/>
        <c:lblOffset val="100"/>
      </c:catAx>
      <c:valAx>
        <c:axId val="119649792"/>
        <c:scaling>
          <c:orientation val="minMax"/>
        </c:scaling>
        <c:axPos val="l"/>
        <c:numFmt formatCode="0" sourceLinked="1"/>
        <c:majorTickMark val="none"/>
        <c:tickLblPos val="nextTo"/>
        <c:crossAx val="1196482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61EC-C163-4C67-8608-8DC23EED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2018-06-18T08:18:00Z</dcterms:created>
  <dcterms:modified xsi:type="dcterms:W3CDTF">2018-06-18T08:18:00Z</dcterms:modified>
</cp:coreProperties>
</file>