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841557">
        <w:rPr>
          <w:rFonts w:ascii="Times New Roman" w:hAnsi="Times New Roman" w:cs="Times New Roman"/>
          <w:b/>
          <w:sz w:val="24"/>
          <w:szCs w:val="24"/>
        </w:rPr>
        <w:t>Foreign Language -2013-2014</w:t>
      </w:r>
    </w:p>
    <w:p w:rsidR="00E67254" w:rsidRPr="008C2CAE" w:rsidRDefault="00E67254" w:rsidP="00E67254">
      <w:pPr>
        <w:rPr>
          <w:rFonts w:ascii="Times New Roman" w:hAnsi="Times New Roman" w:cs="Times New Roman"/>
          <w:sz w:val="24"/>
          <w:szCs w:val="24"/>
        </w:rPr>
      </w:pPr>
    </w:p>
    <w:p w:rsidR="00E67254" w:rsidRDefault="00E67254" w:rsidP="00E67254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E67254" w:rsidRDefault="00E67254" w:rsidP="00E6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E67254" w:rsidRDefault="00E67254" w:rsidP="00E6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"/>
        <w:gridCol w:w="853"/>
        <w:gridCol w:w="1067"/>
        <w:gridCol w:w="853"/>
        <w:gridCol w:w="1067"/>
        <w:gridCol w:w="853"/>
        <w:gridCol w:w="1067"/>
        <w:gridCol w:w="853"/>
        <w:gridCol w:w="1067"/>
        <w:gridCol w:w="960"/>
        <w:gridCol w:w="960"/>
      </w:tblGrid>
      <w:tr w:rsidR="00E2322F" w:rsidRPr="00E2322F" w:rsidTr="00E2322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Sub5</w:t>
            </w:r>
          </w:p>
        </w:tc>
      </w:tr>
      <w:tr w:rsidR="00E2322F" w:rsidRPr="00E2322F" w:rsidTr="00E2322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4C17" w:rsidRPr="00E2322F" w:rsidTr="00787E8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C17" w:rsidRPr="00E2322F" w:rsidRDefault="00A74C17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A74C17" w:rsidRPr="00E2322F" w:rsidTr="00787E8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C17" w:rsidRPr="00E2322F" w:rsidRDefault="00A74C17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A74C17" w:rsidRPr="00E2322F" w:rsidTr="00787E8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C17" w:rsidRPr="00E2322F" w:rsidRDefault="00A74C17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A74C17" w:rsidRPr="00E2322F" w:rsidTr="00787E8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C17" w:rsidRPr="00E2322F" w:rsidRDefault="00A74C17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A74C17" w:rsidRPr="00E2322F" w:rsidTr="00787E8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C17" w:rsidRPr="00E2322F" w:rsidRDefault="00A74C17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C17" w:rsidRDefault="00A74C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96141" w:rsidRPr="00E2322F" w:rsidTr="00E232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41" w:rsidRPr="00E2322F" w:rsidRDefault="00A96141" w:rsidP="00E23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Default="00A96141" w:rsidP="00A9614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33095A" w:rsidRDefault="0033095A" w:rsidP="0033095A">
      <w:pPr>
        <w:tabs>
          <w:tab w:val="left" w:pos="944"/>
        </w:tabs>
        <w:jc w:val="both"/>
        <w:rPr>
          <w:noProof/>
        </w:rPr>
      </w:pPr>
    </w:p>
    <w:p w:rsidR="0000462B" w:rsidRDefault="0000462B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04167" cy="2615979"/>
            <wp:effectExtent l="19050" t="0" r="10933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3F82" w:rsidRDefault="00873F82" w:rsidP="003345AB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F601C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Course Curriculu</w:t>
      </w:r>
      <w:r w:rsidR="003345AB">
        <w:rPr>
          <w:b/>
          <w:noProof/>
          <w:sz w:val="24"/>
          <w:szCs w:val="24"/>
          <w:lang w:val="en-IN" w:eastAsia="en-IN"/>
        </w:rPr>
        <w:t>m Feedback: sub1</w:t>
      </w:r>
    </w:p>
    <w:p w:rsidR="00873F82" w:rsidRPr="00FC28A7" w:rsidRDefault="00A42AD1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C28A7" w:rsidRDefault="00A42AD1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C28A7" w:rsidRP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FC28A7" w:rsidRDefault="00A42AD1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28A7" w:rsidRP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33095A" w:rsidRDefault="00A42A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01CA" w:rsidRDefault="00873F82" w:rsidP="00212D4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3D7D73">
        <w:rPr>
          <w:b/>
          <w:noProof/>
          <w:sz w:val="24"/>
          <w:szCs w:val="24"/>
          <w:lang w:val="en-IN" w:eastAsia="en-IN"/>
        </w:rPr>
        <w:t>sub2</w:t>
      </w:r>
      <w:r w:rsidR="00212D47">
        <w:rPr>
          <w:b/>
          <w:noProof/>
          <w:sz w:val="24"/>
          <w:szCs w:val="24"/>
          <w:lang w:val="en-IN" w:eastAsia="en-IN"/>
        </w:rPr>
        <w:t xml:space="preserve"> 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6A7A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2AD1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D7D73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46790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42A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3D7D73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46790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A42A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D7D73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6A7A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2AD1">
        <w:rPr>
          <w:rFonts w:ascii="Times New Roman" w:hAnsi="Times New Roman" w:cs="Times New Roman"/>
          <w:sz w:val="24"/>
          <w:szCs w:val="24"/>
        </w:rPr>
        <w:t>5</w:t>
      </w:r>
      <w:r w:rsid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D7D73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601CA" w:rsidRDefault="00873F82" w:rsidP="00212D4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ED5AC0">
        <w:rPr>
          <w:b/>
          <w:noProof/>
          <w:sz w:val="24"/>
          <w:szCs w:val="24"/>
          <w:lang w:val="en-IN" w:eastAsia="en-IN"/>
        </w:rPr>
        <w:t>sub3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A42A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7E6633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3D7D73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42A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7E6633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3D7D73" w:rsidRPr="00236F1C">
        <w:rPr>
          <w:rFonts w:ascii="Times New Roman" w:hAnsi="Times New Roman" w:cs="Times New Roman"/>
          <w:sz w:val="24"/>
          <w:szCs w:val="24"/>
        </w:rPr>
        <w:t>Excellent</w:t>
      </w:r>
      <w:proofErr w:type="spellEnd"/>
    </w:p>
    <w:p w:rsidR="0033095A" w:rsidRPr="003C5453" w:rsidRDefault="00A42A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C545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7E6633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C5453" w:rsidRDefault="00A42AD1" w:rsidP="003C54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C5453" w:rsidRPr="003C5453">
        <w:rPr>
          <w:rFonts w:ascii="Times New Roman" w:hAnsi="Times New Roman" w:cs="Times New Roman"/>
          <w:sz w:val="24"/>
          <w:szCs w:val="24"/>
        </w:rPr>
        <w:t>%</w:t>
      </w:r>
      <w:r w:rsidR="0033095A" w:rsidRPr="003C5453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7E6633">
        <w:rPr>
          <w:rFonts w:ascii="Times New Roman" w:hAnsi="Times New Roman" w:cs="Times New Roman"/>
          <w:sz w:val="24"/>
          <w:szCs w:val="24"/>
        </w:rPr>
        <w:t>sub3</w:t>
      </w:r>
      <w:r w:rsidR="0033095A"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1CA" w:rsidRDefault="00873F82" w:rsidP="00212D4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894810">
        <w:rPr>
          <w:b/>
          <w:noProof/>
          <w:sz w:val="24"/>
          <w:szCs w:val="24"/>
          <w:lang w:val="en-IN" w:eastAsia="en-IN"/>
        </w:rPr>
        <w:t>sub4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A42A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D7D73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42A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D7D73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A42A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0C7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894810" w:rsidRDefault="00A42A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0C7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894810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26D14">
        <w:rPr>
          <w:rFonts w:ascii="Times New Roman" w:hAnsi="Times New Roman" w:cs="Times New Roman"/>
          <w:sz w:val="24"/>
          <w:szCs w:val="24"/>
        </w:rPr>
        <w:t>average</w:t>
      </w:r>
    </w:p>
    <w:p w:rsid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1CA" w:rsidRDefault="00894810" w:rsidP="00212D4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sub5</w:t>
      </w:r>
    </w:p>
    <w:p w:rsidR="00894810" w:rsidRDefault="00894810" w:rsidP="00894810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94810" w:rsidRPr="00873F82" w:rsidRDefault="00894810" w:rsidP="00894810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94810" w:rsidRPr="00236F1C" w:rsidRDefault="00A42AD1" w:rsidP="008948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0CE">
        <w:rPr>
          <w:rFonts w:ascii="Times New Roman" w:hAnsi="Times New Roman" w:cs="Times New Roman"/>
          <w:sz w:val="24"/>
          <w:szCs w:val="24"/>
        </w:rPr>
        <w:t>8</w:t>
      </w:r>
      <w:r w:rsidR="0089481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 xml:space="preserve">sub5 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94810">
        <w:rPr>
          <w:rFonts w:ascii="Times New Roman" w:hAnsi="Times New Roman" w:cs="Times New Roman"/>
          <w:sz w:val="24"/>
          <w:szCs w:val="24"/>
        </w:rPr>
        <w:t>outstanding</w:t>
      </w:r>
    </w:p>
    <w:p w:rsidR="00894810" w:rsidRPr="00236F1C" w:rsidRDefault="00A42AD1" w:rsidP="008948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9481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>sub5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894810" w:rsidRPr="00236F1C" w:rsidRDefault="00A42AD1" w:rsidP="008948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4810">
        <w:rPr>
          <w:rFonts w:ascii="Times New Roman" w:hAnsi="Times New Roman" w:cs="Times New Roman"/>
          <w:sz w:val="24"/>
          <w:szCs w:val="24"/>
        </w:rPr>
        <w:t>%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>sub5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94810">
        <w:rPr>
          <w:rFonts w:ascii="Times New Roman" w:hAnsi="Times New Roman" w:cs="Times New Roman"/>
          <w:sz w:val="24"/>
          <w:szCs w:val="24"/>
        </w:rPr>
        <w:t>good</w:t>
      </w:r>
    </w:p>
    <w:p w:rsidR="00894810" w:rsidRPr="00894810" w:rsidRDefault="00A42AD1" w:rsidP="008948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4810">
        <w:rPr>
          <w:rFonts w:ascii="Times New Roman" w:hAnsi="Times New Roman" w:cs="Times New Roman"/>
          <w:sz w:val="24"/>
          <w:szCs w:val="24"/>
        </w:rPr>
        <w:t>%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894810">
        <w:rPr>
          <w:rFonts w:ascii="Times New Roman" w:hAnsi="Times New Roman" w:cs="Times New Roman"/>
          <w:sz w:val="24"/>
          <w:szCs w:val="24"/>
        </w:rPr>
        <w:t>sub5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94810">
        <w:rPr>
          <w:rFonts w:ascii="Times New Roman" w:hAnsi="Times New Roman" w:cs="Times New Roman"/>
          <w:sz w:val="24"/>
          <w:szCs w:val="24"/>
        </w:rPr>
        <w:t>average</w:t>
      </w:r>
    </w:p>
    <w:p w:rsid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212D47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212D47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tbl>
      <w:tblPr>
        <w:tblW w:w="10577" w:type="dxa"/>
        <w:tblInd w:w="-1080" w:type="dxa"/>
        <w:tblLook w:val="04A0" w:firstRow="1" w:lastRow="0" w:firstColumn="1" w:lastColumn="0" w:noHBand="0" w:noVBand="1"/>
      </w:tblPr>
      <w:tblGrid>
        <w:gridCol w:w="960"/>
        <w:gridCol w:w="853"/>
        <w:gridCol w:w="1067"/>
        <w:gridCol w:w="853"/>
        <w:gridCol w:w="1067"/>
        <w:gridCol w:w="853"/>
        <w:gridCol w:w="1067"/>
        <w:gridCol w:w="853"/>
        <w:gridCol w:w="1067"/>
        <w:gridCol w:w="960"/>
        <w:gridCol w:w="960"/>
        <w:gridCol w:w="17"/>
      </w:tblGrid>
      <w:tr w:rsidR="00282895" w:rsidRPr="00E2322F" w:rsidTr="00282895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Sub5</w:t>
            </w:r>
          </w:p>
        </w:tc>
      </w:tr>
      <w:tr w:rsidR="00282895" w:rsidRPr="00E2322F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957FE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7FE" w:rsidRPr="00E2322F" w:rsidRDefault="00B957FE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957FE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7FE" w:rsidRPr="00E2322F" w:rsidRDefault="00B957FE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957FE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7FE" w:rsidRPr="00E2322F" w:rsidRDefault="00B957FE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B957FE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7FE" w:rsidRPr="00E2322F" w:rsidRDefault="00B957FE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B957FE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7FE" w:rsidRPr="00E2322F" w:rsidRDefault="00B957FE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E" w:rsidRDefault="00B957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A54718" w:rsidRPr="00A54718" w:rsidRDefault="00A54718" w:rsidP="00A5471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2895" w:rsidRDefault="00A54718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4238625" cy="26860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0AB1" w:rsidRDefault="00CE0AB1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01CA" w:rsidRDefault="00DA6B07" w:rsidP="00212D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Sub1</w:t>
      </w:r>
    </w:p>
    <w:p w:rsidR="00654411" w:rsidRPr="00E33B7A" w:rsidRDefault="00654411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EB4492">
        <w:rPr>
          <w:rFonts w:ascii="Times New Roman" w:hAnsi="Times New Roman" w:cs="Times New Roman"/>
          <w:sz w:val="24"/>
          <w:szCs w:val="24"/>
        </w:rPr>
        <w:t xml:space="preserve">as </w:t>
      </w:r>
      <w:r w:rsidR="0033095A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BA70BF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BA70BF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33095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E33B7A" w:rsidRPr="00D549BA" w:rsidRDefault="00E33B7A" w:rsidP="00E33B7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01CA" w:rsidRDefault="00DA6B0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Sub2</w:t>
      </w:r>
    </w:p>
    <w:p w:rsidR="00E33B7A" w:rsidRPr="00D549BA" w:rsidRDefault="00E33B7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E33B7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E33B7A" w:rsidRPr="00D549BA" w:rsidRDefault="00E33B7A" w:rsidP="00E33B7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1CA" w:rsidRDefault="00DA6B07" w:rsidP="0033095A">
      <w:pPr>
        <w:pStyle w:val="ListParagraph"/>
        <w:tabs>
          <w:tab w:val="left" w:pos="944"/>
        </w:tabs>
        <w:spacing w:after="0"/>
        <w:ind w:left="142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  <w:r w:rsidR="00212D47" w:rsidRPr="00212D47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E33B7A" w:rsidRPr="00E33B7A" w:rsidRDefault="00E33B7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82929" w:rsidRPr="00D549BA" w:rsidRDefault="00261F2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46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D549BA" w:rsidRDefault="00261F2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261F2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108A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CE0AB1" w:rsidRPr="00F24FDC" w:rsidRDefault="00261F21" w:rsidP="00CE0AB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6108A">
        <w:rPr>
          <w:rFonts w:ascii="Times New Roman" w:hAnsi="Times New Roman" w:cs="Times New Roman"/>
          <w:sz w:val="24"/>
          <w:szCs w:val="24"/>
        </w:rPr>
        <w:t xml:space="preserve">%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CE0AB1" w:rsidRDefault="00CE0AB1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1CA" w:rsidRDefault="00CE0AB1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Sub4</w:t>
      </w:r>
    </w:p>
    <w:p w:rsidR="00E33B7A" w:rsidRPr="00E33B7A" w:rsidRDefault="00E33B7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59AD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959AD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F601CA" w:rsidRDefault="00CE0AB1" w:rsidP="0033095A">
      <w:pPr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Sub5</w:t>
      </w:r>
      <w:r w:rsidR="00212D47" w:rsidRPr="00212D47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53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CE0AB1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15A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E33B7A" w:rsidRDefault="00261F2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212D47">
        <w:rPr>
          <w:rFonts w:ascii="Times New Roman" w:hAnsi="Times New Roman" w:cs="Times New Roman"/>
          <w:sz w:val="24"/>
          <w:szCs w:val="24"/>
        </w:rPr>
        <w:t xml:space="preserve">performance of 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CE0AB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D47" w:rsidRDefault="00212D4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77" w:type="dxa"/>
        <w:tblInd w:w="-1080" w:type="dxa"/>
        <w:tblLook w:val="04A0" w:firstRow="1" w:lastRow="0" w:firstColumn="1" w:lastColumn="0" w:noHBand="0" w:noVBand="1"/>
      </w:tblPr>
      <w:tblGrid>
        <w:gridCol w:w="960"/>
        <w:gridCol w:w="853"/>
        <w:gridCol w:w="1067"/>
        <w:gridCol w:w="853"/>
        <w:gridCol w:w="1067"/>
        <w:gridCol w:w="853"/>
        <w:gridCol w:w="1067"/>
        <w:gridCol w:w="853"/>
        <w:gridCol w:w="1067"/>
        <w:gridCol w:w="960"/>
        <w:gridCol w:w="960"/>
        <w:gridCol w:w="17"/>
      </w:tblGrid>
      <w:tr w:rsidR="00D34902" w:rsidRPr="00E2322F" w:rsidTr="00787E8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Sub5</w:t>
            </w:r>
          </w:p>
        </w:tc>
      </w:tr>
      <w:tr w:rsidR="00D34902" w:rsidRPr="00E2322F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F78A3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8A3" w:rsidRPr="00E2322F" w:rsidRDefault="00CF78A3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F78A3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8A3" w:rsidRPr="00E2322F" w:rsidRDefault="00CF78A3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CF78A3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8A3" w:rsidRPr="00E2322F" w:rsidRDefault="00CF78A3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CF78A3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8A3" w:rsidRPr="00E2322F" w:rsidRDefault="00CF78A3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CF78A3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8A3" w:rsidRPr="00E2322F" w:rsidRDefault="00CF78A3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8A3" w:rsidRDefault="00CF78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D2205" w:rsidRDefault="002D220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D2205" w:rsidRDefault="002D220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D2205" w:rsidRDefault="002D220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D2205" w:rsidRDefault="002D220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D2205" w:rsidRDefault="002D220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9411B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883965" cy="2854518"/>
            <wp:effectExtent l="19050" t="0" r="21535" b="2982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2205" w:rsidRDefault="002D220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0D6F" w:rsidRDefault="00280D6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72661" w:rsidRDefault="0017266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72661" w:rsidRDefault="0017266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72661" w:rsidRDefault="0017266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6CB5" w:rsidRDefault="007C6CB5" w:rsidP="007C6CB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7C6CB5" w:rsidRDefault="007C6CB5" w:rsidP="007C6CB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 </w:t>
      </w:r>
      <w:r w:rsidRPr="00236F1C">
        <w:rPr>
          <w:rFonts w:ascii="Times New Roman" w:hAnsi="Times New Roman" w:cs="Times New Roman"/>
          <w:sz w:val="24"/>
          <w:szCs w:val="24"/>
        </w:rPr>
        <w:t>as</w:t>
      </w:r>
      <w:r w:rsidR="00212D47">
        <w:rPr>
          <w:rFonts w:ascii="Times New Roman" w:hAnsi="Times New Roman" w:cs="Times New Roman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>Excellen</w:t>
      </w:r>
      <w:r w:rsidR="00212D47">
        <w:rPr>
          <w:rFonts w:ascii="Times New Roman" w:hAnsi="Times New Roman" w:cs="Times New Roman"/>
          <w:sz w:val="24"/>
          <w:szCs w:val="24"/>
        </w:rPr>
        <w:t>t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C6CB5" w:rsidRPr="006F5D33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</w:t>
      </w:r>
      <w:r w:rsidR="0041352D">
        <w:rPr>
          <w:rFonts w:ascii="Times New Roman" w:hAnsi="Times New Roman" w:cs="Times New Roman"/>
          <w:sz w:val="24"/>
          <w:szCs w:val="24"/>
        </w:rPr>
        <w:t>e</w:t>
      </w:r>
    </w:p>
    <w:p w:rsidR="007C6CB5" w:rsidRDefault="007C6CB5" w:rsidP="007C6CB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E6633"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C6CB5" w:rsidRPr="00236F1C" w:rsidRDefault="007C6CB5" w:rsidP="007C6CB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="00413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7E6633">
        <w:rPr>
          <w:rFonts w:ascii="Times New Roman" w:hAnsi="Times New Roman" w:cs="Times New Roman"/>
          <w:sz w:val="24"/>
          <w:szCs w:val="24"/>
        </w:rPr>
        <w:t xml:space="preserve"> sub2</w:t>
      </w:r>
      <w:proofErr w:type="gramEnd"/>
      <w:r w:rsidR="0041352D">
        <w:rPr>
          <w:rFonts w:ascii="Times New Roman" w:hAnsi="Times New Roman" w:cs="Times New Roman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>as</w:t>
      </w:r>
      <w:r w:rsidR="0041352D">
        <w:rPr>
          <w:rFonts w:ascii="Times New Roman" w:hAnsi="Times New Roman" w:cs="Times New Roman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>Excellen</w:t>
      </w:r>
      <w:r w:rsidR="0041352D">
        <w:rPr>
          <w:rFonts w:ascii="Times New Roman" w:hAnsi="Times New Roman" w:cs="Times New Roman"/>
          <w:sz w:val="24"/>
          <w:szCs w:val="24"/>
        </w:rPr>
        <w:t>t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7E6633">
        <w:rPr>
          <w:rFonts w:ascii="Times New Roman" w:hAnsi="Times New Roman" w:cs="Times New Roman"/>
          <w:sz w:val="24"/>
          <w:szCs w:val="24"/>
        </w:rPr>
        <w:t>ject/seminar/assignments of 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C6CB5" w:rsidRPr="006F5D33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E6633">
        <w:rPr>
          <w:rFonts w:ascii="Times New Roman" w:hAnsi="Times New Roman" w:cs="Times New Roman"/>
          <w:sz w:val="24"/>
          <w:szCs w:val="24"/>
        </w:rPr>
        <w:t xml:space="preserve"> 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</w:t>
      </w:r>
      <w:r w:rsidR="0041352D">
        <w:rPr>
          <w:rFonts w:ascii="Times New Roman" w:hAnsi="Times New Roman" w:cs="Times New Roman"/>
          <w:sz w:val="24"/>
          <w:szCs w:val="24"/>
        </w:rPr>
        <w:t>e</w:t>
      </w:r>
    </w:p>
    <w:p w:rsidR="007C6CB5" w:rsidRDefault="007C6CB5" w:rsidP="007C6CB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6CB5" w:rsidRDefault="007C6CB5" w:rsidP="007C6CB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E6633"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E6633">
        <w:rPr>
          <w:rFonts w:ascii="Times New Roman" w:hAnsi="Times New Roman" w:cs="Times New Roman"/>
          <w:sz w:val="24"/>
          <w:szCs w:val="24"/>
        </w:rPr>
        <w:t xml:space="preserve"> sub3</w:t>
      </w:r>
      <w:r w:rsidRPr="00236F1C">
        <w:rPr>
          <w:rFonts w:ascii="Times New Roman" w:hAnsi="Times New Roman" w:cs="Times New Roman"/>
          <w:sz w:val="24"/>
          <w:szCs w:val="24"/>
        </w:rPr>
        <w:t>asExcellen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7E6633">
        <w:rPr>
          <w:rFonts w:ascii="Times New Roman" w:hAnsi="Times New Roman" w:cs="Times New Roman"/>
          <w:sz w:val="24"/>
          <w:szCs w:val="24"/>
        </w:rPr>
        <w:t>ject/seminar/assignments of 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C6CB5" w:rsidRPr="006F5D33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E6633">
        <w:rPr>
          <w:rFonts w:ascii="Times New Roman" w:hAnsi="Times New Roman" w:cs="Times New Roman"/>
          <w:sz w:val="24"/>
          <w:szCs w:val="24"/>
        </w:rPr>
        <w:t xml:space="preserve"> 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</w:t>
      </w:r>
      <w:r w:rsidR="0041352D">
        <w:rPr>
          <w:rFonts w:ascii="Times New Roman" w:hAnsi="Times New Roman" w:cs="Times New Roman"/>
          <w:sz w:val="24"/>
          <w:szCs w:val="24"/>
        </w:rPr>
        <w:t>e</w:t>
      </w:r>
    </w:p>
    <w:p w:rsidR="007C6CB5" w:rsidRDefault="007C6CB5" w:rsidP="007C6CB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1352D" w:rsidRDefault="0041352D" w:rsidP="007C6CB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1352D" w:rsidRDefault="0041352D" w:rsidP="007C6CB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6CB5" w:rsidRDefault="007C6CB5" w:rsidP="007C6CB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 4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E6633"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E6633">
        <w:rPr>
          <w:rFonts w:ascii="Times New Roman" w:hAnsi="Times New Roman" w:cs="Times New Roman"/>
          <w:sz w:val="24"/>
          <w:szCs w:val="24"/>
        </w:rPr>
        <w:t xml:space="preserve"> sub4</w:t>
      </w:r>
      <w:r w:rsidRPr="00236F1C">
        <w:rPr>
          <w:rFonts w:ascii="Times New Roman" w:hAnsi="Times New Roman" w:cs="Times New Roman"/>
          <w:sz w:val="24"/>
          <w:szCs w:val="24"/>
        </w:rPr>
        <w:t>asExcellen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7E6633">
        <w:rPr>
          <w:rFonts w:ascii="Times New Roman" w:hAnsi="Times New Roman" w:cs="Times New Roman"/>
          <w:sz w:val="24"/>
          <w:szCs w:val="24"/>
        </w:rPr>
        <w:t>ject/seminar/assignments of 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C6CB5" w:rsidRPr="006F5D33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E6633">
        <w:rPr>
          <w:rFonts w:ascii="Times New Roman" w:hAnsi="Times New Roman" w:cs="Times New Roman"/>
          <w:sz w:val="24"/>
          <w:szCs w:val="24"/>
        </w:rPr>
        <w:t xml:space="preserve"> 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</w:t>
      </w:r>
      <w:r w:rsidR="0041352D">
        <w:rPr>
          <w:rFonts w:ascii="Times New Roman" w:hAnsi="Times New Roman" w:cs="Times New Roman"/>
          <w:sz w:val="24"/>
          <w:szCs w:val="24"/>
        </w:rPr>
        <w:t>e</w:t>
      </w:r>
    </w:p>
    <w:p w:rsidR="007C6CB5" w:rsidRDefault="007C6CB5" w:rsidP="007C6CB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6CB5" w:rsidRDefault="007C6CB5" w:rsidP="007C6CB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5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E6633"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E6633">
        <w:rPr>
          <w:rFonts w:ascii="Times New Roman" w:hAnsi="Times New Roman" w:cs="Times New Roman"/>
          <w:sz w:val="24"/>
          <w:szCs w:val="24"/>
        </w:rPr>
        <w:t xml:space="preserve"> sub5</w:t>
      </w:r>
      <w:r w:rsidRPr="00236F1C">
        <w:rPr>
          <w:rFonts w:ascii="Times New Roman" w:hAnsi="Times New Roman" w:cs="Times New Roman"/>
          <w:sz w:val="24"/>
          <w:szCs w:val="24"/>
        </w:rPr>
        <w:t>asExcellen</w:t>
      </w:r>
    </w:p>
    <w:p w:rsidR="007C6CB5" w:rsidRPr="00236F1C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7E6633">
        <w:rPr>
          <w:rFonts w:ascii="Times New Roman" w:hAnsi="Times New Roman" w:cs="Times New Roman"/>
          <w:sz w:val="24"/>
          <w:szCs w:val="24"/>
        </w:rPr>
        <w:t>ject/seminar/assignments of 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C6CB5" w:rsidRPr="006F5D33" w:rsidRDefault="007C6CB5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E6633">
        <w:rPr>
          <w:rFonts w:ascii="Times New Roman" w:hAnsi="Times New Roman" w:cs="Times New Roman"/>
          <w:sz w:val="24"/>
          <w:szCs w:val="24"/>
        </w:rPr>
        <w:t xml:space="preserve"> 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2D2205" w:rsidRDefault="002D2205" w:rsidP="00BE7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F19" w:rsidRDefault="00403F19" w:rsidP="00403F19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403F19" w:rsidRDefault="00403F19" w:rsidP="00403F19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3F19" w:rsidRDefault="00403F19" w:rsidP="00403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403F19" w:rsidRDefault="00403F19" w:rsidP="00403F19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3F19" w:rsidRPr="002D2205" w:rsidRDefault="00403F19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Table 4: Overall</w:t>
      </w:r>
      <w:r w:rsidR="006E1F85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feedback </w:t>
      </w:r>
      <w:r w:rsidR="006E1F85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summary</w:t>
      </w:r>
    </w:p>
    <w:p w:rsidR="00403F19" w:rsidRDefault="00403F1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3F19" w:rsidRDefault="00403F1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10577" w:type="dxa"/>
        <w:tblInd w:w="-1080" w:type="dxa"/>
        <w:tblLook w:val="04A0" w:firstRow="1" w:lastRow="0" w:firstColumn="1" w:lastColumn="0" w:noHBand="0" w:noVBand="1"/>
      </w:tblPr>
      <w:tblGrid>
        <w:gridCol w:w="960"/>
        <w:gridCol w:w="853"/>
        <w:gridCol w:w="1067"/>
        <w:gridCol w:w="853"/>
        <w:gridCol w:w="1067"/>
        <w:gridCol w:w="853"/>
        <w:gridCol w:w="1067"/>
        <w:gridCol w:w="853"/>
        <w:gridCol w:w="1067"/>
        <w:gridCol w:w="960"/>
        <w:gridCol w:w="960"/>
        <w:gridCol w:w="17"/>
      </w:tblGrid>
      <w:tr w:rsidR="00403F19" w:rsidRPr="00E2322F" w:rsidTr="00787E8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Sub5</w:t>
            </w:r>
          </w:p>
        </w:tc>
      </w:tr>
      <w:tr w:rsidR="00403F19" w:rsidRPr="00E2322F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83739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739" w:rsidRPr="00E2322F" w:rsidRDefault="00283739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283739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739" w:rsidRPr="00E2322F" w:rsidRDefault="00283739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283739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739" w:rsidRPr="00E2322F" w:rsidRDefault="00283739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283739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739" w:rsidRPr="00E2322F" w:rsidRDefault="00283739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283739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739" w:rsidRPr="00E2322F" w:rsidRDefault="00283739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739" w:rsidRDefault="00283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E7DBA" w:rsidRDefault="00BE7DB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E7DBA" w:rsidRDefault="004D2A0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249725" cy="2671638"/>
            <wp:effectExtent l="19050" t="0" r="177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7DBA" w:rsidRDefault="00BE7DB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21CA5" w:rsidRDefault="00B21CA5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A666A" w:rsidRPr="005A666A" w:rsidRDefault="007C6CB5" w:rsidP="005A666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Sub1</w:t>
      </w:r>
    </w:p>
    <w:p w:rsidR="005A666A" w:rsidRPr="005A666A" w:rsidRDefault="005A666A" w:rsidP="005A666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6A" w:rsidRPr="00236F1C" w:rsidRDefault="005A666A" w:rsidP="005A666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41352D">
        <w:rPr>
          <w:rFonts w:ascii="Times New Roman" w:hAnsi="Times New Roman" w:cs="Times New Roman"/>
          <w:sz w:val="24"/>
          <w:szCs w:val="24"/>
        </w:rPr>
        <w:t xml:space="preserve"> </w:t>
      </w:r>
      <w:r w:rsidR="007E6633"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5A666A" w:rsidRPr="00236F1C" w:rsidRDefault="005A666A" w:rsidP="005A666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5A666A" w:rsidRPr="003C0C4B" w:rsidRDefault="005A666A" w:rsidP="005A666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5A666A" w:rsidRPr="003C0C4B" w:rsidRDefault="005A666A" w:rsidP="005A666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C0C4B">
        <w:rPr>
          <w:rFonts w:ascii="Times New Roman" w:hAnsi="Times New Roman" w:cs="Times New Roman"/>
          <w:sz w:val="24"/>
          <w:szCs w:val="24"/>
        </w:rPr>
        <w:t xml:space="preserve">% of the students have rated Overall facilities in the department </w:t>
      </w:r>
      <w:r w:rsidR="007E6633">
        <w:rPr>
          <w:rFonts w:ascii="Times New Roman" w:hAnsi="Times New Roman" w:cs="Times New Roman"/>
          <w:sz w:val="24"/>
          <w:szCs w:val="24"/>
        </w:rPr>
        <w:t>sub1</w:t>
      </w:r>
      <w:r w:rsidRPr="003C0C4B">
        <w:rPr>
          <w:rFonts w:ascii="Times New Roman" w:hAnsi="Times New Roman" w:cs="Times New Roman"/>
          <w:sz w:val="24"/>
          <w:szCs w:val="24"/>
        </w:rPr>
        <w:t>as average</w:t>
      </w:r>
    </w:p>
    <w:p w:rsidR="005A666A" w:rsidRPr="005A666A" w:rsidRDefault="005A666A" w:rsidP="005A666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6A" w:rsidRPr="005A666A" w:rsidRDefault="007C6CB5" w:rsidP="005A666A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6A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Sub2</w:t>
      </w:r>
    </w:p>
    <w:p w:rsidR="005A666A" w:rsidRPr="005A666A" w:rsidRDefault="005A666A" w:rsidP="005A666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6A" w:rsidRPr="00236F1C" w:rsidRDefault="005A666A" w:rsidP="005A666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 xml:space="preserve"> sub2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5A666A" w:rsidRPr="00236F1C" w:rsidRDefault="005A666A" w:rsidP="005A666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5A666A" w:rsidRPr="00236F1C" w:rsidRDefault="005A666A" w:rsidP="005A666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5A666A" w:rsidRDefault="005A666A" w:rsidP="005A666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5A666A" w:rsidRPr="005A666A" w:rsidRDefault="005A666A" w:rsidP="005A666A">
      <w:pPr>
        <w:tabs>
          <w:tab w:val="left" w:pos="814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7C6CB5" w:rsidRDefault="007C6CB5" w:rsidP="007C6CB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7C6CB5" w:rsidRPr="00F0187F" w:rsidRDefault="007C6CB5" w:rsidP="007C6CB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7C6CB5" w:rsidRDefault="007C6CB5" w:rsidP="007C6CB5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Sub3</w:t>
      </w:r>
    </w:p>
    <w:p w:rsidR="007C6CB5" w:rsidRPr="00236F1C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7C6CB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C6CB5">
        <w:rPr>
          <w:rFonts w:ascii="Times New Roman" w:hAnsi="Times New Roman" w:cs="Times New Roman"/>
          <w:sz w:val="24"/>
          <w:szCs w:val="24"/>
        </w:rPr>
        <w:t xml:space="preserve">Overall facilities in the </w:t>
      </w:r>
      <w:r w:rsidR="007E6633">
        <w:rPr>
          <w:rFonts w:ascii="Times New Roman" w:hAnsi="Times New Roman" w:cs="Times New Roman"/>
          <w:sz w:val="24"/>
          <w:szCs w:val="24"/>
        </w:rPr>
        <w:t>department t sub3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C6CB5">
        <w:rPr>
          <w:rFonts w:ascii="Times New Roman" w:hAnsi="Times New Roman" w:cs="Times New Roman"/>
          <w:sz w:val="24"/>
          <w:szCs w:val="24"/>
        </w:rPr>
        <w:t>outstanding</w:t>
      </w:r>
    </w:p>
    <w:p w:rsidR="007C6CB5" w:rsidRPr="00236F1C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C6CB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C6CB5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sub3</w:t>
      </w:r>
      <w:r w:rsidR="007C6CB5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7C6CB5" w:rsidRPr="003C0C4B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6CB5">
        <w:rPr>
          <w:rFonts w:ascii="Times New Roman" w:hAnsi="Times New Roman" w:cs="Times New Roman"/>
          <w:sz w:val="24"/>
          <w:szCs w:val="24"/>
        </w:rPr>
        <w:t>%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C6CB5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sub3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C6CB5">
        <w:rPr>
          <w:rFonts w:ascii="Times New Roman" w:hAnsi="Times New Roman" w:cs="Times New Roman"/>
          <w:sz w:val="24"/>
          <w:szCs w:val="24"/>
        </w:rPr>
        <w:t>good</w:t>
      </w:r>
    </w:p>
    <w:p w:rsidR="007C6CB5" w:rsidRPr="003C0C4B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C6CB5" w:rsidRPr="003C0C4B">
        <w:rPr>
          <w:rFonts w:ascii="Times New Roman" w:hAnsi="Times New Roman" w:cs="Times New Roman"/>
          <w:sz w:val="24"/>
          <w:szCs w:val="24"/>
        </w:rPr>
        <w:t xml:space="preserve">% of the students have rated Overall facilities in the department </w:t>
      </w:r>
      <w:r w:rsidR="007E6633">
        <w:rPr>
          <w:rFonts w:ascii="Times New Roman" w:hAnsi="Times New Roman" w:cs="Times New Roman"/>
          <w:sz w:val="24"/>
          <w:szCs w:val="24"/>
        </w:rPr>
        <w:t>sub3</w:t>
      </w:r>
      <w:r w:rsidR="007C6CB5" w:rsidRPr="003C0C4B">
        <w:rPr>
          <w:rFonts w:ascii="Times New Roman" w:hAnsi="Times New Roman" w:cs="Times New Roman"/>
          <w:sz w:val="24"/>
          <w:szCs w:val="24"/>
        </w:rPr>
        <w:t>as average</w:t>
      </w:r>
    </w:p>
    <w:p w:rsidR="007C6CB5" w:rsidRDefault="007C6CB5" w:rsidP="007C6CB5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7C6CB5" w:rsidRDefault="007C6CB5" w:rsidP="007C6CB5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7C6CB5" w:rsidRPr="00F0187F" w:rsidRDefault="007C6CB5" w:rsidP="007C6CB5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7C6CB5" w:rsidRDefault="007C6CB5" w:rsidP="007C6CB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lastRenderedPageBreak/>
        <w:t>Sub4</w:t>
      </w:r>
    </w:p>
    <w:p w:rsidR="007C6CB5" w:rsidRDefault="007C6CB5" w:rsidP="007C6CB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7C6CB5" w:rsidRPr="00236F1C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C6CB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C6CB5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 xml:space="preserve"> sub4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C6CB5">
        <w:rPr>
          <w:rFonts w:ascii="Times New Roman" w:hAnsi="Times New Roman" w:cs="Times New Roman"/>
          <w:sz w:val="24"/>
          <w:szCs w:val="24"/>
        </w:rPr>
        <w:t>outstanding</w:t>
      </w:r>
    </w:p>
    <w:p w:rsidR="007C6CB5" w:rsidRPr="00236F1C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C6CB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C6CB5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sub4</w:t>
      </w:r>
      <w:r w:rsidR="007C6CB5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7C6CB5" w:rsidRPr="00BA2BB1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6CB5">
        <w:rPr>
          <w:rFonts w:ascii="Times New Roman" w:hAnsi="Times New Roman" w:cs="Times New Roman"/>
          <w:sz w:val="24"/>
          <w:szCs w:val="24"/>
        </w:rPr>
        <w:t>%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C6CB5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sub4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C6CB5">
        <w:rPr>
          <w:rFonts w:ascii="Times New Roman" w:hAnsi="Times New Roman" w:cs="Times New Roman"/>
          <w:sz w:val="24"/>
          <w:szCs w:val="24"/>
        </w:rPr>
        <w:t>good</w:t>
      </w:r>
    </w:p>
    <w:p w:rsidR="007C6CB5" w:rsidRPr="00BA2BB1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6CB5" w:rsidRPr="00BA2BB1">
        <w:rPr>
          <w:rFonts w:ascii="Times New Roman" w:hAnsi="Times New Roman" w:cs="Times New Roman"/>
          <w:sz w:val="24"/>
          <w:szCs w:val="24"/>
        </w:rPr>
        <w:t>% of the students have rated 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sub4</w:t>
      </w:r>
      <w:r w:rsidR="007C6CB5" w:rsidRPr="00BA2BB1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7C6CB5" w:rsidRPr="00F0187F" w:rsidRDefault="007C6CB5" w:rsidP="007C6CB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7C6CB5" w:rsidRDefault="007C6CB5" w:rsidP="007C6C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7C6CB5" w:rsidRDefault="007C6CB5" w:rsidP="007C6CB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Sub5</w:t>
      </w:r>
    </w:p>
    <w:p w:rsidR="007C6CB5" w:rsidRPr="00F0187F" w:rsidRDefault="007C6CB5" w:rsidP="007C6CB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7C6CB5" w:rsidRPr="00236F1C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C6CB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C6CB5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 xml:space="preserve"> sub5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C6CB5">
        <w:rPr>
          <w:rFonts w:ascii="Times New Roman" w:hAnsi="Times New Roman" w:cs="Times New Roman"/>
          <w:sz w:val="24"/>
          <w:szCs w:val="24"/>
        </w:rPr>
        <w:t>outstanding</w:t>
      </w:r>
    </w:p>
    <w:p w:rsidR="007C6CB5" w:rsidRPr="00236F1C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C6CB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C6CB5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sub5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7C6CB5" w:rsidRPr="003C0C4B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6CB5">
        <w:rPr>
          <w:rFonts w:ascii="Times New Roman" w:hAnsi="Times New Roman" w:cs="Times New Roman"/>
          <w:sz w:val="24"/>
          <w:szCs w:val="24"/>
        </w:rPr>
        <w:t>%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C6CB5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sub5</w:t>
      </w:r>
      <w:r w:rsidR="007C6CB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C6CB5">
        <w:rPr>
          <w:rFonts w:ascii="Times New Roman" w:hAnsi="Times New Roman" w:cs="Times New Roman"/>
          <w:sz w:val="24"/>
          <w:szCs w:val="24"/>
        </w:rPr>
        <w:t>good</w:t>
      </w:r>
    </w:p>
    <w:p w:rsidR="007C6CB5" w:rsidRPr="003C0C4B" w:rsidRDefault="005A666A" w:rsidP="007C6CB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C6CB5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</w:t>
      </w:r>
      <w:r w:rsidR="007E6633">
        <w:rPr>
          <w:rFonts w:ascii="Times New Roman" w:hAnsi="Times New Roman" w:cs="Times New Roman"/>
          <w:sz w:val="24"/>
          <w:szCs w:val="24"/>
        </w:rPr>
        <w:t>sub5</w:t>
      </w:r>
      <w:r w:rsidR="007C6CB5" w:rsidRPr="003C0C4B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1250BB" w:rsidRDefault="001250BB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250BB" w:rsidRDefault="001250BB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250BB" w:rsidRDefault="001250BB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sectPr w:rsidR="001250B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095A"/>
    <w:rsid w:val="0000462B"/>
    <w:rsid w:val="0003616F"/>
    <w:rsid w:val="000415F1"/>
    <w:rsid w:val="00056A31"/>
    <w:rsid w:val="00065B79"/>
    <w:rsid w:val="00076D43"/>
    <w:rsid w:val="000851E8"/>
    <w:rsid w:val="000929BF"/>
    <w:rsid w:val="000B64FE"/>
    <w:rsid w:val="000C2B1A"/>
    <w:rsid w:val="000C6516"/>
    <w:rsid w:val="000E44B9"/>
    <w:rsid w:val="00104648"/>
    <w:rsid w:val="001250BB"/>
    <w:rsid w:val="00137418"/>
    <w:rsid w:val="001519C3"/>
    <w:rsid w:val="00157AC5"/>
    <w:rsid w:val="00170563"/>
    <w:rsid w:val="00172661"/>
    <w:rsid w:val="00176203"/>
    <w:rsid w:val="0018308D"/>
    <w:rsid w:val="001959AD"/>
    <w:rsid w:val="001A2DA3"/>
    <w:rsid w:val="001A67F0"/>
    <w:rsid w:val="001C1011"/>
    <w:rsid w:val="001C2BFD"/>
    <w:rsid w:val="0020226F"/>
    <w:rsid w:val="00203AC7"/>
    <w:rsid w:val="00211655"/>
    <w:rsid w:val="00211B63"/>
    <w:rsid w:val="00212D47"/>
    <w:rsid w:val="002156BA"/>
    <w:rsid w:val="00236707"/>
    <w:rsid w:val="00254934"/>
    <w:rsid w:val="00261F21"/>
    <w:rsid w:val="0026291F"/>
    <w:rsid w:val="00274730"/>
    <w:rsid w:val="00280D6F"/>
    <w:rsid w:val="00282895"/>
    <w:rsid w:val="00282929"/>
    <w:rsid w:val="00283739"/>
    <w:rsid w:val="00284834"/>
    <w:rsid w:val="0028502E"/>
    <w:rsid w:val="0029355A"/>
    <w:rsid w:val="002C5F68"/>
    <w:rsid w:val="002D2205"/>
    <w:rsid w:val="002E23B1"/>
    <w:rsid w:val="002F6BDD"/>
    <w:rsid w:val="0032027F"/>
    <w:rsid w:val="0033095A"/>
    <w:rsid w:val="003345AB"/>
    <w:rsid w:val="003360CE"/>
    <w:rsid w:val="00346790"/>
    <w:rsid w:val="003503F4"/>
    <w:rsid w:val="003679B0"/>
    <w:rsid w:val="00387870"/>
    <w:rsid w:val="003916B4"/>
    <w:rsid w:val="00396CF2"/>
    <w:rsid w:val="003B5B70"/>
    <w:rsid w:val="003C40DB"/>
    <w:rsid w:val="003C5453"/>
    <w:rsid w:val="003D7D73"/>
    <w:rsid w:val="003E3590"/>
    <w:rsid w:val="00403F19"/>
    <w:rsid w:val="004124A3"/>
    <w:rsid w:val="0041352D"/>
    <w:rsid w:val="00434C17"/>
    <w:rsid w:val="00454826"/>
    <w:rsid w:val="00472065"/>
    <w:rsid w:val="00475DDB"/>
    <w:rsid w:val="004835D7"/>
    <w:rsid w:val="00496D52"/>
    <w:rsid w:val="00497DC1"/>
    <w:rsid w:val="004A3131"/>
    <w:rsid w:val="004C29A0"/>
    <w:rsid w:val="004D2A01"/>
    <w:rsid w:val="004E351A"/>
    <w:rsid w:val="004F59B0"/>
    <w:rsid w:val="00576B56"/>
    <w:rsid w:val="005811C5"/>
    <w:rsid w:val="00591309"/>
    <w:rsid w:val="005A666A"/>
    <w:rsid w:val="005C0510"/>
    <w:rsid w:val="005D3EB4"/>
    <w:rsid w:val="006111FB"/>
    <w:rsid w:val="006147DA"/>
    <w:rsid w:val="006253B7"/>
    <w:rsid w:val="0065177B"/>
    <w:rsid w:val="00654411"/>
    <w:rsid w:val="006A7A7E"/>
    <w:rsid w:val="006E1F85"/>
    <w:rsid w:val="006F5D33"/>
    <w:rsid w:val="007027A3"/>
    <w:rsid w:val="00702D7E"/>
    <w:rsid w:val="00703A66"/>
    <w:rsid w:val="007141B9"/>
    <w:rsid w:val="00722E7F"/>
    <w:rsid w:val="007323DC"/>
    <w:rsid w:val="00760CEC"/>
    <w:rsid w:val="00761653"/>
    <w:rsid w:val="00774204"/>
    <w:rsid w:val="00787E88"/>
    <w:rsid w:val="007974F4"/>
    <w:rsid w:val="007B39B4"/>
    <w:rsid w:val="007C6CB5"/>
    <w:rsid w:val="007E6633"/>
    <w:rsid w:val="007F337A"/>
    <w:rsid w:val="00810331"/>
    <w:rsid w:val="008126A6"/>
    <w:rsid w:val="00820B53"/>
    <w:rsid w:val="00837094"/>
    <w:rsid w:val="00841557"/>
    <w:rsid w:val="00844ED0"/>
    <w:rsid w:val="00873F82"/>
    <w:rsid w:val="00894810"/>
    <w:rsid w:val="008973F4"/>
    <w:rsid w:val="008C5590"/>
    <w:rsid w:val="008F0803"/>
    <w:rsid w:val="008F193C"/>
    <w:rsid w:val="008F3812"/>
    <w:rsid w:val="008F51BA"/>
    <w:rsid w:val="009411BB"/>
    <w:rsid w:val="00992BD9"/>
    <w:rsid w:val="00997E70"/>
    <w:rsid w:val="009F10F5"/>
    <w:rsid w:val="00A04BBD"/>
    <w:rsid w:val="00A42AD1"/>
    <w:rsid w:val="00A54718"/>
    <w:rsid w:val="00A57479"/>
    <w:rsid w:val="00A74C17"/>
    <w:rsid w:val="00A815AB"/>
    <w:rsid w:val="00A96141"/>
    <w:rsid w:val="00AA3250"/>
    <w:rsid w:val="00AC5421"/>
    <w:rsid w:val="00AD7FD0"/>
    <w:rsid w:val="00AE09EB"/>
    <w:rsid w:val="00AF0730"/>
    <w:rsid w:val="00B056CC"/>
    <w:rsid w:val="00B21CA5"/>
    <w:rsid w:val="00B26B06"/>
    <w:rsid w:val="00B26D14"/>
    <w:rsid w:val="00B275C5"/>
    <w:rsid w:val="00B43394"/>
    <w:rsid w:val="00B62622"/>
    <w:rsid w:val="00B86539"/>
    <w:rsid w:val="00B93351"/>
    <w:rsid w:val="00B957FE"/>
    <w:rsid w:val="00B9613C"/>
    <w:rsid w:val="00BA70BF"/>
    <w:rsid w:val="00BB58E9"/>
    <w:rsid w:val="00BD0CA4"/>
    <w:rsid w:val="00BE7DBA"/>
    <w:rsid w:val="00C032A1"/>
    <w:rsid w:val="00C12CBA"/>
    <w:rsid w:val="00C512A5"/>
    <w:rsid w:val="00C54FFF"/>
    <w:rsid w:val="00C6108A"/>
    <w:rsid w:val="00C617C6"/>
    <w:rsid w:val="00C778B8"/>
    <w:rsid w:val="00C83516"/>
    <w:rsid w:val="00CA2440"/>
    <w:rsid w:val="00CB1D68"/>
    <w:rsid w:val="00CE0AB1"/>
    <w:rsid w:val="00CF1B18"/>
    <w:rsid w:val="00CF496D"/>
    <w:rsid w:val="00CF4EA1"/>
    <w:rsid w:val="00CF78A3"/>
    <w:rsid w:val="00D03B7F"/>
    <w:rsid w:val="00D06148"/>
    <w:rsid w:val="00D10101"/>
    <w:rsid w:val="00D13EED"/>
    <w:rsid w:val="00D17986"/>
    <w:rsid w:val="00D34902"/>
    <w:rsid w:val="00D61140"/>
    <w:rsid w:val="00D61FD2"/>
    <w:rsid w:val="00D702A7"/>
    <w:rsid w:val="00D83FF5"/>
    <w:rsid w:val="00DA6B07"/>
    <w:rsid w:val="00DD2786"/>
    <w:rsid w:val="00DE6BE9"/>
    <w:rsid w:val="00DF270E"/>
    <w:rsid w:val="00E04ADB"/>
    <w:rsid w:val="00E14EA6"/>
    <w:rsid w:val="00E2322F"/>
    <w:rsid w:val="00E32033"/>
    <w:rsid w:val="00E33B7A"/>
    <w:rsid w:val="00E34B79"/>
    <w:rsid w:val="00E67254"/>
    <w:rsid w:val="00E91E42"/>
    <w:rsid w:val="00E93A70"/>
    <w:rsid w:val="00EA6958"/>
    <w:rsid w:val="00EB4492"/>
    <w:rsid w:val="00EC75A5"/>
    <w:rsid w:val="00ED5AC0"/>
    <w:rsid w:val="00EF0D61"/>
    <w:rsid w:val="00EF7177"/>
    <w:rsid w:val="00F00C7E"/>
    <w:rsid w:val="00F24FDC"/>
    <w:rsid w:val="00F51018"/>
    <w:rsid w:val="00F601CA"/>
    <w:rsid w:val="00F643E4"/>
    <w:rsid w:val="00F668E7"/>
    <w:rsid w:val="00F96306"/>
    <w:rsid w:val="00FB4723"/>
    <w:rsid w:val="00FC28A7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ocuments\Foreign%20language%202013-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ocuments\Foreign%20language%202013-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ocuments\Foreign%20language%202013-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ocuments\Foreign%20language%202013-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Sheet1!$A$13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Sheet1!$B$13:$F$13</c:f>
              <c:numCache>
                <c:formatCode>0</c:formatCode>
                <c:ptCount val="5"/>
                <c:pt idx="0">
                  <c:v>10.734463276836149</c:v>
                </c:pt>
                <c:pt idx="1">
                  <c:v>14.917127071823206</c:v>
                </c:pt>
                <c:pt idx="2">
                  <c:v>10.919540229885076</c:v>
                </c:pt>
                <c:pt idx="3">
                  <c:v>12.244897959183673</c:v>
                </c:pt>
                <c:pt idx="4">
                  <c:v>8.7431693989071029</c:v>
                </c:pt>
              </c:numCache>
            </c:numRef>
          </c:val>
        </c:ser>
        <c:ser>
          <c:idx val="1"/>
          <c:order val="1"/>
          <c:tx>
            <c:strRef>
              <c:f>Sheet1!$A$14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Sheet1!$B$14:$F$14</c:f>
              <c:numCache>
                <c:formatCode>0</c:formatCode>
                <c:ptCount val="5"/>
                <c:pt idx="0">
                  <c:v>3.9548022598870061</c:v>
                </c:pt>
                <c:pt idx="1">
                  <c:v>4.4198895027624303</c:v>
                </c:pt>
                <c:pt idx="2">
                  <c:v>16.091954022988542</c:v>
                </c:pt>
                <c:pt idx="3">
                  <c:v>12.244897959183673</c:v>
                </c:pt>
                <c:pt idx="4">
                  <c:v>8.7431693989071029</c:v>
                </c:pt>
              </c:numCache>
            </c:numRef>
          </c:val>
        </c:ser>
        <c:ser>
          <c:idx val="2"/>
          <c:order val="2"/>
          <c:tx>
            <c:strRef>
              <c:f>Sheet1!$A$15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Sheet1!$B$15:$F$15</c:f>
              <c:numCache>
                <c:formatCode>0</c:formatCode>
                <c:ptCount val="5"/>
                <c:pt idx="0">
                  <c:v>29.943502824858736</c:v>
                </c:pt>
                <c:pt idx="1">
                  <c:v>29.281767955801087</c:v>
                </c:pt>
                <c:pt idx="2">
                  <c:v>41.379310344827637</c:v>
                </c:pt>
                <c:pt idx="3">
                  <c:v>28.571428571428569</c:v>
                </c:pt>
                <c:pt idx="4">
                  <c:v>34.42622950819672</c:v>
                </c:pt>
              </c:numCache>
            </c:numRef>
          </c:val>
        </c:ser>
        <c:ser>
          <c:idx val="3"/>
          <c:order val="3"/>
          <c:tx>
            <c:strRef>
              <c:f>Sheet1!$A$16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Sheet1!$B$16:$F$16</c:f>
              <c:numCache>
                <c:formatCode>0</c:formatCode>
                <c:ptCount val="5"/>
                <c:pt idx="0">
                  <c:v>55.367231638418076</c:v>
                </c:pt>
                <c:pt idx="1">
                  <c:v>51.381215469613139</c:v>
                </c:pt>
                <c:pt idx="2">
                  <c:v>31.609195402298894</c:v>
                </c:pt>
                <c:pt idx="3">
                  <c:v>46.938775510204081</c:v>
                </c:pt>
                <c:pt idx="4">
                  <c:v>48.087431693989046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51647616"/>
        <c:axId val="51649152"/>
        <c:axId val="0"/>
      </c:bar3DChart>
      <c:catAx>
        <c:axId val="51647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51649152"/>
        <c:crosses val="autoZero"/>
        <c:auto val="1"/>
        <c:lblAlgn val="ctr"/>
        <c:lblOffset val="100"/>
        <c:noMultiLvlLbl val="0"/>
      </c:catAx>
      <c:valAx>
        <c:axId val="51649152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51647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Sheet1!$H$13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Sheet1!$I$13:$M$13</c:f>
              <c:numCache>
                <c:formatCode>0</c:formatCode>
                <c:ptCount val="5"/>
                <c:pt idx="0">
                  <c:v>14.440433212996403</c:v>
                </c:pt>
                <c:pt idx="1">
                  <c:v>15.073529411764715</c:v>
                </c:pt>
                <c:pt idx="2">
                  <c:v>11.340206185567014</c:v>
                </c:pt>
                <c:pt idx="3">
                  <c:v>12</c:v>
                </c:pt>
                <c:pt idx="4">
                  <c:v>6.0714285714285712</c:v>
                </c:pt>
              </c:numCache>
            </c:numRef>
          </c:val>
        </c:ser>
        <c:ser>
          <c:idx val="1"/>
          <c:order val="1"/>
          <c:tx>
            <c:strRef>
              <c:f>Sheet1!$H$14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Sheet1!$I$14:$M$14</c:f>
              <c:numCache>
                <c:formatCode>0</c:formatCode>
                <c:ptCount val="5"/>
                <c:pt idx="0">
                  <c:v>7.2202166064981945</c:v>
                </c:pt>
                <c:pt idx="1">
                  <c:v>6.25</c:v>
                </c:pt>
                <c:pt idx="2">
                  <c:v>6.1855670103092786</c:v>
                </c:pt>
                <c:pt idx="3">
                  <c:v>8</c:v>
                </c:pt>
                <c:pt idx="4">
                  <c:v>9.2857142857142865</c:v>
                </c:pt>
              </c:numCache>
            </c:numRef>
          </c:val>
        </c:ser>
        <c:ser>
          <c:idx val="2"/>
          <c:order val="2"/>
          <c:tx>
            <c:strRef>
              <c:f>Sheet1!$H$15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Sheet1!$I$15:$M$15</c:f>
              <c:numCache>
                <c:formatCode>0</c:formatCode>
                <c:ptCount val="5"/>
                <c:pt idx="0">
                  <c:v>27.797833935018051</c:v>
                </c:pt>
                <c:pt idx="1">
                  <c:v>29.77941176470588</c:v>
                </c:pt>
                <c:pt idx="2">
                  <c:v>39.175257731958816</c:v>
                </c:pt>
                <c:pt idx="3">
                  <c:v>33.818181818181863</c:v>
                </c:pt>
                <c:pt idx="4">
                  <c:v>32.142857142857153</c:v>
                </c:pt>
              </c:numCache>
            </c:numRef>
          </c:val>
        </c:ser>
        <c:ser>
          <c:idx val="3"/>
          <c:order val="3"/>
          <c:tx>
            <c:strRef>
              <c:f>Sheet1!$H$16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Sheet1!$I$16:$M$16</c:f>
              <c:numCache>
                <c:formatCode>0</c:formatCode>
                <c:ptCount val="5"/>
                <c:pt idx="0">
                  <c:v>50.541516245487358</c:v>
                </c:pt>
                <c:pt idx="1">
                  <c:v>48.897058823529413</c:v>
                </c:pt>
                <c:pt idx="2">
                  <c:v>43.298969072164994</c:v>
                </c:pt>
                <c:pt idx="3">
                  <c:v>46.181818181818144</c:v>
                </c:pt>
                <c:pt idx="4">
                  <c:v>52.5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1681920"/>
        <c:axId val="51696000"/>
      </c:barChart>
      <c:catAx>
        <c:axId val="51681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51696000"/>
        <c:crosses val="autoZero"/>
        <c:auto val="1"/>
        <c:lblAlgn val="ctr"/>
        <c:lblOffset val="100"/>
        <c:noMultiLvlLbl val="0"/>
      </c:catAx>
      <c:valAx>
        <c:axId val="5169600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51681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Sheet1!$O$13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Sheet1!$P$13:$T$13</c:f>
              <c:numCache>
                <c:formatCode>0</c:formatCode>
                <c:ptCount val="5"/>
                <c:pt idx="0">
                  <c:v>6.3829787234042552</c:v>
                </c:pt>
                <c:pt idx="1">
                  <c:v>14.583333333333334</c:v>
                </c:pt>
                <c:pt idx="2">
                  <c:v>7.2164948453608284</c:v>
                </c:pt>
                <c:pt idx="3">
                  <c:v>11.578947368421053</c:v>
                </c:pt>
                <c:pt idx="4">
                  <c:v>9.4890510948904989</c:v>
                </c:pt>
              </c:numCache>
            </c:numRef>
          </c:val>
        </c:ser>
        <c:ser>
          <c:idx val="1"/>
          <c:order val="1"/>
          <c:tx>
            <c:strRef>
              <c:f>Sheet1!$O$14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Sheet1!$P$14:$T$14</c:f>
              <c:numCache>
                <c:formatCode>0</c:formatCode>
                <c:ptCount val="5"/>
                <c:pt idx="0">
                  <c:v>6.3829787234042552</c:v>
                </c:pt>
                <c:pt idx="1">
                  <c:v>6.25</c:v>
                </c:pt>
                <c:pt idx="2">
                  <c:v>6.1855670103092786</c:v>
                </c:pt>
                <c:pt idx="3">
                  <c:v>8.4210526315789505</c:v>
                </c:pt>
                <c:pt idx="4">
                  <c:v>21.897810218978105</c:v>
                </c:pt>
              </c:numCache>
            </c:numRef>
          </c:val>
        </c:ser>
        <c:ser>
          <c:idx val="2"/>
          <c:order val="2"/>
          <c:tx>
            <c:strRef>
              <c:f>Sheet1!$O$15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Sheet1!$P$15:$T$15</c:f>
              <c:numCache>
                <c:formatCode>0</c:formatCode>
                <c:ptCount val="5"/>
                <c:pt idx="0">
                  <c:v>10.638297872340418</c:v>
                </c:pt>
                <c:pt idx="1">
                  <c:v>41.666666666666586</c:v>
                </c:pt>
                <c:pt idx="2">
                  <c:v>35.051546391752503</c:v>
                </c:pt>
                <c:pt idx="3">
                  <c:v>34.736842105263115</c:v>
                </c:pt>
                <c:pt idx="4">
                  <c:v>35.766423357664195</c:v>
                </c:pt>
              </c:numCache>
            </c:numRef>
          </c:val>
        </c:ser>
        <c:ser>
          <c:idx val="3"/>
          <c:order val="3"/>
          <c:tx>
            <c:strRef>
              <c:f>Sheet1!$O$16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Sheet1!$P$16:$T$16</c:f>
              <c:numCache>
                <c:formatCode>0</c:formatCode>
                <c:ptCount val="5"/>
                <c:pt idx="0">
                  <c:v>76.59574468085107</c:v>
                </c:pt>
                <c:pt idx="1">
                  <c:v>37.5</c:v>
                </c:pt>
                <c:pt idx="2">
                  <c:v>51.546391752577314</c:v>
                </c:pt>
                <c:pt idx="3">
                  <c:v>45.263157894736885</c:v>
                </c:pt>
                <c:pt idx="4">
                  <c:v>32.846715328467162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0233728"/>
        <c:axId val="200235264"/>
        <c:axId val="0"/>
      </c:bar3DChart>
      <c:catAx>
        <c:axId val="200233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235264"/>
        <c:crosses val="autoZero"/>
        <c:auto val="1"/>
        <c:lblAlgn val="ctr"/>
        <c:lblOffset val="100"/>
        <c:noMultiLvlLbl val="0"/>
      </c:catAx>
      <c:valAx>
        <c:axId val="20023526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002337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Sheet1!$V$13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Sheet1!$W$13:$AA$13</c:f>
              <c:numCache>
                <c:formatCode>0</c:formatCode>
                <c:ptCount val="5"/>
                <c:pt idx="0">
                  <c:v>17.543859649122787</c:v>
                </c:pt>
                <c:pt idx="1">
                  <c:v>15.873015873015872</c:v>
                </c:pt>
                <c:pt idx="2">
                  <c:v>12.962962962962973</c:v>
                </c:pt>
                <c:pt idx="3">
                  <c:v>11.538461538461538</c:v>
                </c:pt>
                <c:pt idx="4">
                  <c:v>16.363636363636342</c:v>
                </c:pt>
              </c:numCache>
            </c:numRef>
          </c:val>
        </c:ser>
        <c:ser>
          <c:idx val="1"/>
          <c:order val="1"/>
          <c:tx>
            <c:strRef>
              <c:f>Sheet1!$V$14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Sheet1!$W$14:$AA$14</c:f>
              <c:numCache>
                <c:formatCode>0</c:formatCode>
                <c:ptCount val="5"/>
                <c:pt idx="0">
                  <c:v>3.5087719298245608</c:v>
                </c:pt>
                <c:pt idx="1">
                  <c:v>7.9365079365079358</c:v>
                </c:pt>
                <c:pt idx="2">
                  <c:v>9.2592592592592755</c:v>
                </c:pt>
                <c:pt idx="3">
                  <c:v>11.538461538461538</c:v>
                </c:pt>
                <c:pt idx="4">
                  <c:v>7.2727272727272725</c:v>
                </c:pt>
              </c:numCache>
            </c:numRef>
          </c:val>
        </c:ser>
        <c:ser>
          <c:idx val="2"/>
          <c:order val="2"/>
          <c:tx>
            <c:strRef>
              <c:f>Sheet1!$V$15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Sheet1!$W$15:$AA$15</c:f>
              <c:numCache>
                <c:formatCode>0</c:formatCode>
                <c:ptCount val="5"/>
                <c:pt idx="0">
                  <c:v>12.280701754385964</c:v>
                </c:pt>
                <c:pt idx="1">
                  <c:v>25.396825396825392</c:v>
                </c:pt>
                <c:pt idx="2">
                  <c:v>18.51851851851853</c:v>
                </c:pt>
                <c:pt idx="3">
                  <c:v>36.538461538461526</c:v>
                </c:pt>
                <c:pt idx="4">
                  <c:v>38.181818181818144</c:v>
                </c:pt>
              </c:numCache>
            </c:numRef>
          </c:val>
        </c:ser>
        <c:ser>
          <c:idx val="3"/>
          <c:order val="3"/>
          <c:tx>
            <c:strRef>
              <c:f>Sheet1!$V$16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Sheet1!$W$16:$AA$16</c:f>
              <c:numCache>
                <c:formatCode>0</c:formatCode>
                <c:ptCount val="5"/>
                <c:pt idx="0">
                  <c:v>66.666666666666657</c:v>
                </c:pt>
                <c:pt idx="1">
                  <c:v>50.793650793650812</c:v>
                </c:pt>
                <c:pt idx="2">
                  <c:v>59.259259259259245</c:v>
                </c:pt>
                <c:pt idx="3">
                  <c:v>40.384615384615344</c:v>
                </c:pt>
                <c:pt idx="4">
                  <c:v>38.181818181818144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0276224"/>
        <c:axId val="200802304"/>
        <c:axId val="0"/>
      </c:bar3DChart>
      <c:catAx>
        <c:axId val="200276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802304"/>
        <c:crosses val="autoZero"/>
        <c:auto val="1"/>
        <c:lblAlgn val="ctr"/>
        <c:lblOffset val="100"/>
        <c:noMultiLvlLbl val="0"/>
      </c:catAx>
      <c:valAx>
        <c:axId val="20080230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00276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474E-83FA-4EC2-9182-F65CB65C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6</cp:revision>
  <dcterms:created xsi:type="dcterms:W3CDTF">2018-06-18T08:17:00Z</dcterms:created>
  <dcterms:modified xsi:type="dcterms:W3CDTF">2018-10-16T11:17:00Z</dcterms:modified>
</cp:coreProperties>
</file>