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E331E8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E33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5770B" w:rsidRPr="00B901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E33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90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B90135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536889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36889">
        <w:rPr>
          <w:rFonts w:ascii="Times New Roman" w:hAnsi="Times New Roman" w:cs="Times New Roman"/>
          <w:b/>
          <w:sz w:val="24"/>
          <w:szCs w:val="24"/>
        </w:rPr>
        <w:t>5</w:t>
      </w:r>
      <w:r w:rsidR="00536889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36889">
        <w:rPr>
          <w:rFonts w:ascii="Times New Roman" w:hAnsi="Times New Roman" w:cs="Times New Roman"/>
          <w:b/>
          <w:sz w:val="24"/>
          <w:szCs w:val="24"/>
        </w:rPr>
        <w:t>6</w:t>
      </w:r>
    </w:p>
    <w:p w:rsidR="00F80E45" w:rsidRPr="00636C35" w:rsidRDefault="00F80E45" w:rsidP="00E331E8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bookmarkStart w:id="0" w:name="_GoBack"/>
      <w:bookmarkEnd w:id="0"/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E331E8">
        <w:rPr>
          <w:rFonts w:ascii="Times New Roman" w:hAnsi="Times New Roman" w:cs="Times New Roman"/>
          <w:sz w:val="24"/>
          <w:szCs w:val="24"/>
        </w:rPr>
        <w:t xml:space="preserve"> 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E331E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E33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E8" w:rsidRDefault="00E331E8" w:rsidP="00E331E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F80E45" w:rsidP="00E331E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sub5</w:t>
            </w:r>
          </w:p>
        </w:tc>
      </w:tr>
      <w:tr w:rsidR="0050446D" w:rsidRPr="00AC0CEA" w:rsidTr="009C394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50446D" w:rsidRPr="00AC0CEA" w:rsidRDefault="0050446D" w:rsidP="005044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0446D" w:rsidRPr="00AC0CEA" w:rsidTr="009C394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50446D" w:rsidRPr="00AC0CEA" w:rsidRDefault="0050446D" w:rsidP="005044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0446D" w:rsidRPr="00AC0CEA" w:rsidTr="009C394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50446D" w:rsidRPr="00AC0CEA" w:rsidRDefault="0050446D" w:rsidP="005044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0446D" w:rsidRPr="00AC0CEA" w:rsidTr="009C394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50446D" w:rsidRPr="00AC0CEA" w:rsidRDefault="0050446D" w:rsidP="005044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0446D" w:rsidRPr="00AC0CEA" w:rsidTr="009C394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50446D" w:rsidRPr="00AC0CEA" w:rsidRDefault="0050446D" w:rsidP="005044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50446D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4825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50446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0446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0446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50446D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0446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E331E8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E331E8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E8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E33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0446D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0446D" w:rsidRDefault="0050446D" w:rsidP="005044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50446D" w:rsidP="00504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5530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0446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E33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</w:t>
      </w:r>
      <w:r w:rsidR="00E33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9C394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3947" w:rsidRDefault="009C3947" w:rsidP="009C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9C3947" w:rsidP="009C3947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3816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F4F9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E331E8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342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CE3298" w:rsidRPr="00AC0CEA" w:rsidTr="00B9013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342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CE3298" w:rsidRPr="00AC0CEA" w:rsidTr="00B9013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E86E53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86E53" w:rsidRDefault="00E86E53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E86E53" w:rsidP="00E86E53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34352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86E5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E331E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</w:t>
      </w:r>
      <w:r w:rsidR="00342EBF">
        <w:rPr>
          <w:rFonts w:ascii="Times New Roman" w:hAnsi="Times New Roman" w:cs="Times New Roman"/>
          <w:b/>
          <w:sz w:val="24"/>
          <w:szCs w:val="24"/>
        </w:rPr>
        <w:t>abo</w:t>
      </w:r>
      <w:r>
        <w:rPr>
          <w:rFonts w:ascii="Times New Roman" w:hAnsi="Times New Roman" w:cs="Times New Roman"/>
          <w:b/>
          <w:sz w:val="24"/>
          <w:szCs w:val="24"/>
        </w:rPr>
        <w:t>ut criterion V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IV students have given overall feedback about 7 different aspects as follows: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B019AD" w:rsidRDefault="00B019AD" w:rsidP="00B019AD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B019AD" w:rsidRDefault="00B019AD" w:rsidP="00B019AD">
      <w:pPr>
        <w:pStyle w:val="ListParagraph"/>
        <w:numPr>
          <w:ilvl w:val="0"/>
          <w:numId w:val="1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B019AD" w:rsidRDefault="00B019AD" w:rsidP="00B019AD">
      <w:pPr>
        <w:pStyle w:val="ListParagraph"/>
        <w:numPr>
          <w:ilvl w:val="0"/>
          <w:numId w:val="1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B019AD" w:rsidRDefault="00B019AD" w:rsidP="00B019AD">
      <w:pPr>
        <w:pStyle w:val="ListParagraph"/>
        <w:numPr>
          <w:ilvl w:val="0"/>
          <w:numId w:val="1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019AD" w:rsidRDefault="00B019AD" w:rsidP="00B019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given by students about infrastructure </w:t>
      </w:r>
    </w:p>
    <w:tbl>
      <w:tblPr>
        <w:tblStyle w:val="TableGrid"/>
        <w:tblW w:w="3148" w:type="dxa"/>
        <w:jc w:val="center"/>
        <w:tblLook w:val="04A0"/>
      </w:tblPr>
      <w:tblGrid>
        <w:gridCol w:w="960"/>
        <w:gridCol w:w="960"/>
        <w:gridCol w:w="1228"/>
      </w:tblGrid>
      <w:tr w:rsidR="00342EBF" w:rsidRPr="00AC0CEA" w:rsidTr="00342EB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2EBF" w:rsidRDefault="00342EBF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2EBF" w:rsidRDefault="00342EBF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Freq.</w:t>
            </w:r>
          </w:p>
        </w:tc>
        <w:tc>
          <w:tcPr>
            <w:tcW w:w="1228" w:type="dxa"/>
            <w:shd w:val="clear" w:color="auto" w:fill="F79646" w:themeFill="accent6"/>
            <w:noWrap/>
            <w:vAlign w:val="bottom"/>
            <w:hideMark/>
          </w:tcPr>
          <w:p w:rsidR="00342EBF" w:rsidRDefault="00342EBF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42EBF" w:rsidRPr="00AC0CEA" w:rsidTr="00342EB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28" w:type="dxa"/>
            <w:noWrap/>
            <w:vAlign w:val="bottom"/>
            <w:hideMark/>
          </w:tcPr>
          <w:p w:rsidR="00342EBF" w:rsidRDefault="00342EBF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42EBF" w:rsidRPr="00AC0CEA" w:rsidTr="00342EB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28" w:type="dxa"/>
            <w:noWrap/>
            <w:vAlign w:val="bottom"/>
            <w:hideMark/>
          </w:tcPr>
          <w:p w:rsidR="00342EBF" w:rsidRDefault="00342EBF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42EBF" w:rsidRPr="00AC0CEA" w:rsidTr="00342EB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28" w:type="dxa"/>
            <w:noWrap/>
            <w:vAlign w:val="bottom"/>
            <w:hideMark/>
          </w:tcPr>
          <w:p w:rsidR="00342EBF" w:rsidRDefault="00342EBF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342EBF" w:rsidRPr="00AC0CEA" w:rsidTr="00342EB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28" w:type="dxa"/>
            <w:noWrap/>
            <w:vAlign w:val="bottom"/>
            <w:hideMark/>
          </w:tcPr>
          <w:p w:rsidR="00342EBF" w:rsidRDefault="00342EBF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342EBF" w:rsidRPr="00AC0CEA" w:rsidTr="00342EB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42EBF" w:rsidRDefault="00342EBF" w:rsidP="00E86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228" w:type="dxa"/>
            <w:noWrap/>
            <w:vAlign w:val="bottom"/>
            <w:hideMark/>
          </w:tcPr>
          <w:p w:rsidR="00342EBF" w:rsidRDefault="00342EBF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AD" w:rsidRDefault="00342EBF" w:rsidP="00B019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BF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9AD" w:rsidRDefault="00B019AD" w:rsidP="00E86E53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19AD" w:rsidRP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AD">
        <w:rPr>
          <w:rFonts w:ascii="Times New Roman" w:hAnsi="Times New Roman" w:cs="Times New Roman"/>
          <w:b/>
          <w:sz w:val="24"/>
          <w:szCs w:val="24"/>
        </w:rPr>
        <w:t>Subject 1:</w:t>
      </w:r>
    </w:p>
    <w:p w:rsidR="00B019AD" w:rsidRDefault="00342EBF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Department of English of subject 1 as Outstanding</w:t>
      </w:r>
    </w:p>
    <w:p w:rsidR="00B019AD" w:rsidRDefault="00342EBF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019AD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B019AD">
        <w:rPr>
          <w:rFonts w:ascii="Times New Roman" w:hAnsi="Times New Roman" w:cs="Times New Roman"/>
          <w:sz w:val="24"/>
          <w:szCs w:val="24"/>
        </w:rPr>
        <w:t>of the students graded the infrastructure of Department of English of subject 1 as Excellent</w:t>
      </w:r>
    </w:p>
    <w:p w:rsidR="00B019AD" w:rsidRDefault="00342EBF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English of subject 1 as Good</w:t>
      </w:r>
    </w:p>
    <w:p w:rsidR="00B019AD" w:rsidRDefault="00342EBF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>of the students graded the infrastructure of Department of English of subject 1 as Average</w:t>
      </w: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feedbacks of students about criterion VI, VII, VIII, IX and X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bottomFromText="200" w:vertAnchor="text" w:horzAnchor="margin" w:tblpXSpec="center" w:tblpY="92"/>
        <w:tblW w:w="6263" w:type="dxa"/>
        <w:tblLook w:val="04A0"/>
      </w:tblPr>
      <w:tblGrid>
        <w:gridCol w:w="3383"/>
        <w:gridCol w:w="1550"/>
        <w:gridCol w:w="1330"/>
      </w:tblGrid>
      <w:tr w:rsidR="00B019AD" w:rsidTr="00342EBF">
        <w:trPr>
          <w:trHeight w:val="27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</w:tr>
      <w:tr w:rsidR="00815AB6" w:rsidTr="00342EBF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15AB6" w:rsidTr="00342EBF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815AB6" w:rsidTr="00342EBF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815AB6" w:rsidTr="00342EBF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815AB6" w:rsidTr="00342EBF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B6" w:rsidRDefault="00815AB6" w:rsidP="0081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815AB6" w:rsidP="00B0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815AB6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wish to have counseling by the teachers / experts for their personal or academic problem.</w:t>
      </w:r>
    </w:p>
    <w:p w:rsidR="00B019AD" w:rsidRDefault="00815AB6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classes in soft skill and personality development.</w:t>
      </w:r>
    </w:p>
    <w:p w:rsidR="00B019AD" w:rsidRDefault="00815AB6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more industrial/ field visits.</w:t>
      </w:r>
    </w:p>
    <w:p w:rsidR="00B019AD" w:rsidRDefault="00815AB6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find a positive change in department activities in this semester.</w:t>
      </w:r>
    </w:p>
    <w:p w:rsidR="00B019AD" w:rsidRDefault="00815AB6" w:rsidP="00342EBF">
      <w:pPr>
        <w:pStyle w:val="ListParagraph"/>
        <w:numPr>
          <w:ilvl w:val="0"/>
          <w:numId w:val="19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BF">
        <w:rPr>
          <w:rFonts w:ascii="Times New Roman" w:hAnsi="Times New Roman" w:cs="Times New Roman"/>
          <w:b/>
          <w:sz w:val="24"/>
          <w:szCs w:val="24"/>
        </w:rPr>
        <w:t>76</w:t>
      </w:r>
      <w:r w:rsidR="00B019AD" w:rsidRPr="00342EBF">
        <w:rPr>
          <w:rFonts w:ascii="Times New Roman" w:hAnsi="Times New Roman" w:cs="Times New Roman"/>
          <w:b/>
          <w:sz w:val="24"/>
          <w:szCs w:val="24"/>
        </w:rPr>
        <w:t>%</w:t>
      </w:r>
      <w:r w:rsidR="00B019AD" w:rsidRPr="00342EBF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sectPr w:rsidR="00B019AD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5B" w:rsidRDefault="00395E5B" w:rsidP="009569D7">
      <w:pPr>
        <w:spacing w:after="0" w:line="240" w:lineRule="auto"/>
      </w:pPr>
      <w:r>
        <w:separator/>
      </w:r>
    </w:p>
  </w:endnote>
  <w:endnote w:type="continuationSeparator" w:id="1">
    <w:p w:rsidR="00395E5B" w:rsidRDefault="00395E5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5B" w:rsidRDefault="00395E5B" w:rsidP="009569D7">
      <w:pPr>
        <w:spacing w:after="0" w:line="240" w:lineRule="auto"/>
      </w:pPr>
      <w:r>
        <w:separator/>
      </w:r>
    </w:p>
  </w:footnote>
  <w:footnote w:type="continuationSeparator" w:id="1">
    <w:p w:rsidR="00395E5B" w:rsidRDefault="00395E5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2EBF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5E5B"/>
    <w:rsid w:val="00396CD7"/>
    <w:rsid w:val="003972CB"/>
    <w:rsid w:val="003A203D"/>
    <w:rsid w:val="003A2A94"/>
    <w:rsid w:val="003A33DB"/>
    <w:rsid w:val="003A3571"/>
    <w:rsid w:val="003A3A73"/>
    <w:rsid w:val="003A48AA"/>
    <w:rsid w:val="003A52F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251D8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46D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889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15AB6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1A4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1E58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3947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5770B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19AD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135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4F92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977EA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1E8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86E53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5-16_MA%20I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5-16_MA%20I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5-16_MA%20I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5-16_MA%20I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5-16_MA%20I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Sheet2!$A$41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Sheet2!$B$40:$F$40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Sheet2!$B$41:$F$41</c:f>
              <c:numCache>
                <c:formatCode>0</c:formatCode>
                <c:ptCount val="5"/>
                <c:pt idx="0">
                  <c:v>26.704545454545453</c:v>
                </c:pt>
                <c:pt idx="1">
                  <c:v>12.429378531073445</c:v>
                </c:pt>
                <c:pt idx="2">
                  <c:v>12</c:v>
                </c:pt>
                <c:pt idx="3">
                  <c:v>20</c:v>
                </c:pt>
                <c:pt idx="4">
                  <c:v>18.75</c:v>
                </c:pt>
              </c:numCache>
            </c:numRef>
          </c:val>
        </c:ser>
        <c:ser>
          <c:idx val="1"/>
          <c:order val="1"/>
          <c:tx>
            <c:strRef>
              <c:f>Sheet2!$A$42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Sheet2!$B$40:$F$40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Sheet2!$B$42:$F$42</c:f>
              <c:numCache>
                <c:formatCode>0</c:formatCode>
                <c:ptCount val="5"/>
                <c:pt idx="0">
                  <c:v>29.545454545454547</c:v>
                </c:pt>
                <c:pt idx="1">
                  <c:v>29.378531073446329</c:v>
                </c:pt>
                <c:pt idx="2">
                  <c:v>20.571428571428569</c:v>
                </c:pt>
                <c:pt idx="3">
                  <c:v>24</c:v>
                </c:pt>
                <c:pt idx="4">
                  <c:v>18.75</c:v>
                </c:pt>
              </c:numCache>
            </c:numRef>
          </c:val>
        </c:ser>
        <c:ser>
          <c:idx val="2"/>
          <c:order val="2"/>
          <c:tx>
            <c:strRef>
              <c:f>Sheet2!$A$43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Sheet2!$B$40:$F$40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Sheet2!$B$43:$F$43</c:f>
              <c:numCache>
                <c:formatCode>0</c:formatCode>
                <c:ptCount val="5"/>
                <c:pt idx="0">
                  <c:v>22.159090909090917</c:v>
                </c:pt>
                <c:pt idx="1">
                  <c:v>33.898305084745772</c:v>
                </c:pt>
                <c:pt idx="2">
                  <c:v>29.714285714285726</c:v>
                </c:pt>
                <c:pt idx="3">
                  <c:v>30.285714285714274</c:v>
                </c:pt>
                <c:pt idx="4">
                  <c:v>34.375</c:v>
                </c:pt>
              </c:numCache>
            </c:numRef>
          </c:val>
        </c:ser>
        <c:ser>
          <c:idx val="3"/>
          <c:order val="3"/>
          <c:tx>
            <c:strRef>
              <c:f>Sheet2!$A$44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Sheet2!$B$40:$F$40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Sheet2!$B$44:$F$44</c:f>
              <c:numCache>
                <c:formatCode>0</c:formatCode>
                <c:ptCount val="5"/>
                <c:pt idx="0">
                  <c:v>21.590909090909086</c:v>
                </c:pt>
                <c:pt idx="1">
                  <c:v>24.293785310734464</c:v>
                </c:pt>
                <c:pt idx="2">
                  <c:v>37.714285714285715</c:v>
                </c:pt>
                <c:pt idx="3">
                  <c:v>25.714285714285726</c:v>
                </c:pt>
                <c:pt idx="4">
                  <c:v>28.125</c:v>
                </c:pt>
              </c:numCache>
            </c:numRef>
          </c:val>
        </c:ser>
        <c:dLbls>
          <c:showVal val="1"/>
        </c:dLbls>
        <c:shape val="box"/>
        <c:axId val="77077888"/>
        <c:axId val="77125504"/>
        <c:axId val="0"/>
      </c:bar3DChart>
      <c:catAx>
        <c:axId val="77077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125504"/>
        <c:crosses val="autoZero"/>
        <c:auto val="1"/>
        <c:lblAlgn val="ctr"/>
        <c:lblOffset val="100"/>
      </c:catAx>
      <c:valAx>
        <c:axId val="77125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7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Sheet2!$A$81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Sheet2!$B$80:$F$80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Sheet2!$B$81:$F$81</c:f>
              <c:numCache>
                <c:formatCode>0</c:formatCode>
                <c:ptCount val="5"/>
                <c:pt idx="0">
                  <c:v>17.557251908396953</c:v>
                </c:pt>
                <c:pt idx="1">
                  <c:v>17.241379310344829</c:v>
                </c:pt>
                <c:pt idx="2">
                  <c:v>22.900763358778626</c:v>
                </c:pt>
                <c:pt idx="3">
                  <c:v>20.912547528517106</c:v>
                </c:pt>
                <c:pt idx="4">
                  <c:v>24.561403508771914</c:v>
                </c:pt>
              </c:numCache>
            </c:numRef>
          </c:val>
        </c:ser>
        <c:ser>
          <c:idx val="1"/>
          <c:order val="1"/>
          <c:tx>
            <c:strRef>
              <c:f>Sheet2!$A$82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Sheet2!$B$80:$F$80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Sheet2!$B$82:$F$82</c:f>
              <c:numCache>
                <c:formatCode>0</c:formatCode>
                <c:ptCount val="5"/>
                <c:pt idx="0">
                  <c:v>12.977099236641228</c:v>
                </c:pt>
                <c:pt idx="1">
                  <c:v>23.371647509578537</c:v>
                </c:pt>
                <c:pt idx="2">
                  <c:v>27.09923664122136</c:v>
                </c:pt>
                <c:pt idx="3">
                  <c:v>21.29277566539923</c:v>
                </c:pt>
                <c:pt idx="4">
                  <c:v>22.807017543859647</c:v>
                </c:pt>
              </c:numCache>
            </c:numRef>
          </c:val>
        </c:ser>
        <c:ser>
          <c:idx val="2"/>
          <c:order val="2"/>
          <c:tx>
            <c:strRef>
              <c:f>Sheet2!$A$83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Sheet2!$B$80:$F$80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Sheet2!$B$83:$F$83</c:f>
              <c:numCache>
                <c:formatCode>0</c:formatCode>
                <c:ptCount val="5"/>
                <c:pt idx="0">
                  <c:v>37.022900763358791</c:v>
                </c:pt>
                <c:pt idx="1">
                  <c:v>22.988505747126425</c:v>
                </c:pt>
                <c:pt idx="2">
                  <c:v>21.755725190839687</c:v>
                </c:pt>
                <c:pt idx="3">
                  <c:v>30.418250950570336</c:v>
                </c:pt>
                <c:pt idx="4">
                  <c:v>26.315789473684209</c:v>
                </c:pt>
              </c:numCache>
            </c:numRef>
          </c:val>
        </c:ser>
        <c:ser>
          <c:idx val="3"/>
          <c:order val="3"/>
          <c:tx>
            <c:strRef>
              <c:f>Sheet2!$A$84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Sheet2!$B$80:$F$80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Sheet2!$B$84:$F$84</c:f>
              <c:numCache>
                <c:formatCode>0</c:formatCode>
                <c:ptCount val="5"/>
                <c:pt idx="0">
                  <c:v>32.442748091603036</c:v>
                </c:pt>
                <c:pt idx="1">
                  <c:v>36.398467432950191</c:v>
                </c:pt>
                <c:pt idx="2">
                  <c:v>28.244274809160302</c:v>
                </c:pt>
                <c:pt idx="3">
                  <c:v>27.3764258555133</c:v>
                </c:pt>
                <c:pt idx="4">
                  <c:v>26.315789473684209</c:v>
                </c:pt>
              </c:numCache>
            </c:numRef>
          </c:val>
        </c:ser>
        <c:dLbls>
          <c:showVal val="1"/>
        </c:dLbls>
        <c:shape val="box"/>
        <c:axId val="96442240"/>
        <c:axId val="96443776"/>
        <c:axId val="0"/>
      </c:bar3DChart>
      <c:catAx>
        <c:axId val="96442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443776"/>
        <c:crosses val="autoZero"/>
        <c:auto val="1"/>
        <c:lblAlgn val="ctr"/>
        <c:lblOffset val="100"/>
      </c:catAx>
      <c:valAx>
        <c:axId val="9644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44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Sheet2!$A$121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Sheet2!$B$120:$F$120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Sheet2!$B$121:$F$121</c:f>
              <c:numCache>
                <c:formatCode>0</c:formatCode>
                <c:ptCount val="5"/>
                <c:pt idx="0">
                  <c:v>33.734939759036145</c:v>
                </c:pt>
                <c:pt idx="1">
                  <c:v>17.073170731707311</c:v>
                </c:pt>
                <c:pt idx="2">
                  <c:v>11.111111111111105</c:v>
                </c:pt>
                <c:pt idx="3">
                  <c:v>8.4337349397590415</c:v>
                </c:pt>
                <c:pt idx="4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Sheet2!$A$122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Sheet2!$B$120:$F$120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Sheet2!$B$122:$F$122</c:f>
              <c:numCache>
                <c:formatCode>0</c:formatCode>
                <c:ptCount val="5"/>
                <c:pt idx="0">
                  <c:v>14.457831325301207</c:v>
                </c:pt>
                <c:pt idx="1">
                  <c:v>31.707317073170721</c:v>
                </c:pt>
                <c:pt idx="2">
                  <c:v>37.037037037037024</c:v>
                </c:pt>
                <c:pt idx="3">
                  <c:v>21.686746987951793</c:v>
                </c:pt>
                <c:pt idx="4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Sheet2!$A$123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Sheet2!$B$120:$F$120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Sheet2!$B$123:$F$123</c:f>
              <c:numCache>
                <c:formatCode>0</c:formatCode>
                <c:ptCount val="5"/>
                <c:pt idx="0">
                  <c:v>19.277108433734934</c:v>
                </c:pt>
                <c:pt idx="1">
                  <c:v>25.609756097560972</c:v>
                </c:pt>
                <c:pt idx="2">
                  <c:v>16.049382716049383</c:v>
                </c:pt>
                <c:pt idx="3">
                  <c:v>28.915662650602407</c:v>
                </c:pt>
                <c:pt idx="4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Sheet2!$A$124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Sheet2!$B$120:$F$120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Sheet2!$B$124:$F$124</c:f>
              <c:numCache>
                <c:formatCode>0</c:formatCode>
                <c:ptCount val="5"/>
                <c:pt idx="0">
                  <c:v>32.53012048192771</c:v>
                </c:pt>
                <c:pt idx="1">
                  <c:v>25.609756097560972</c:v>
                </c:pt>
                <c:pt idx="2">
                  <c:v>35.802469135802447</c:v>
                </c:pt>
                <c:pt idx="3">
                  <c:v>40.963855421686745</c:v>
                </c:pt>
                <c:pt idx="4">
                  <c:v>43.75</c:v>
                </c:pt>
              </c:numCache>
            </c:numRef>
          </c:val>
        </c:ser>
        <c:dLbls>
          <c:showVal val="1"/>
        </c:dLbls>
        <c:shape val="box"/>
        <c:axId val="123008896"/>
        <c:axId val="45900160"/>
        <c:axId val="0"/>
      </c:bar3DChart>
      <c:catAx>
        <c:axId val="123008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00160"/>
        <c:crosses val="autoZero"/>
        <c:auto val="1"/>
        <c:lblAlgn val="ctr"/>
        <c:lblOffset val="100"/>
      </c:catAx>
      <c:valAx>
        <c:axId val="45900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00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Sheet2!$A$161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Sheet2!$B$160:$F$160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Sheet2!$B$161:$F$161</c:f>
              <c:numCache>
                <c:formatCode>0</c:formatCode>
                <c:ptCount val="5"/>
                <c:pt idx="0">
                  <c:v>20</c:v>
                </c:pt>
                <c:pt idx="1">
                  <c:v>11.666666666666671</c:v>
                </c:pt>
                <c:pt idx="2">
                  <c:v>15</c:v>
                </c:pt>
                <c:pt idx="3">
                  <c:v>10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Sheet2!$A$162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Sheet2!$B$160:$F$160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Sheet2!$B$162:$F$162</c:f>
              <c:numCache>
                <c:formatCode>0</c:formatCode>
                <c:ptCount val="5"/>
                <c:pt idx="0">
                  <c:v>5</c:v>
                </c:pt>
                <c:pt idx="1">
                  <c:v>16.666666666666664</c:v>
                </c:pt>
                <c:pt idx="2">
                  <c:v>6.666666666666667</c:v>
                </c:pt>
                <c:pt idx="3">
                  <c:v>18.333333333333318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Sheet2!$A$163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Sheet2!$B$160:$F$160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Sheet2!$B$163:$F$163</c:f>
              <c:numCache>
                <c:formatCode>0</c:formatCode>
                <c:ptCount val="5"/>
                <c:pt idx="0">
                  <c:v>23.333333333333318</c:v>
                </c:pt>
                <c:pt idx="1">
                  <c:v>26.666666666666668</c:v>
                </c:pt>
                <c:pt idx="2">
                  <c:v>31.666666666666664</c:v>
                </c:pt>
                <c:pt idx="3">
                  <c:v>38.333333333333336</c:v>
                </c:pt>
                <c:pt idx="4">
                  <c:v>16.666666666666664</c:v>
                </c:pt>
              </c:numCache>
            </c:numRef>
          </c:val>
        </c:ser>
        <c:ser>
          <c:idx val="3"/>
          <c:order val="3"/>
          <c:tx>
            <c:strRef>
              <c:f>Sheet2!$A$164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Sheet2!$B$160:$F$160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Sheet2!$B$164:$F$164</c:f>
              <c:numCache>
                <c:formatCode>0</c:formatCode>
                <c:ptCount val="5"/>
                <c:pt idx="0">
                  <c:v>51.666666666666643</c:v>
                </c:pt>
                <c:pt idx="1">
                  <c:v>45</c:v>
                </c:pt>
                <c:pt idx="2">
                  <c:v>46.666666666666636</c:v>
                </c:pt>
                <c:pt idx="3">
                  <c:v>33.333333333333329</c:v>
                </c:pt>
                <c:pt idx="4">
                  <c:v>58.333333333333336</c:v>
                </c:pt>
              </c:numCache>
            </c:numRef>
          </c:val>
        </c:ser>
        <c:dLbls>
          <c:showVal val="1"/>
        </c:dLbls>
        <c:shape val="box"/>
        <c:axId val="45969792"/>
        <c:axId val="45971328"/>
        <c:axId val="0"/>
      </c:bar3DChart>
      <c:catAx>
        <c:axId val="4596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71328"/>
        <c:crosses val="autoZero"/>
        <c:auto val="1"/>
        <c:lblAlgn val="ctr"/>
        <c:lblOffset val="100"/>
      </c:catAx>
      <c:valAx>
        <c:axId val="45971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6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Sheet1!$B$16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Sheet1!$A$17:$A$20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Sheet1!$B$17:$B$20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31</c:v>
                </c:pt>
                <c:pt idx="3">
                  <c:v>31</c:v>
                </c:pt>
              </c:numCache>
            </c:numRef>
          </c:val>
        </c:ser>
        <c:dLbls>
          <c:showVal val="1"/>
        </c:dLbls>
        <c:shape val="box"/>
        <c:axId val="45986944"/>
        <c:axId val="45988480"/>
        <c:axId val="0"/>
      </c:bar3DChart>
      <c:catAx>
        <c:axId val="45986944"/>
        <c:scaling>
          <c:orientation val="minMax"/>
        </c:scaling>
        <c:axPos val="b"/>
        <c:tickLblPos val="nextTo"/>
        <c:crossAx val="45988480"/>
        <c:crosses val="autoZero"/>
        <c:auto val="1"/>
        <c:lblAlgn val="ctr"/>
        <c:lblOffset val="100"/>
      </c:catAx>
      <c:valAx>
        <c:axId val="45988480"/>
        <c:scaling>
          <c:orientation val="minMax"/>
        </c:scaling>
        <c:axPos val="l"/>
        <c:numFmt formatCode="General" sourceLinked="1"/>
        <c:tickLblPos val="nextTo"/>
        <c:crossAx val="45986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Sheet2!$L$207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Sheet2!$H$208:$H$212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Sheet2!$L$208:$L$212</c:f>
              <c:numCache>
                <c:formatCode>0</c:formatCode>
                <c:ptCount val="5"/>
                <c:pt idx="0">
                  <c:v>85.714285714285722</c:v>
                </c:pt>
                <c:pt idx="1">
                  <c:v>61.904761904761905</c:v>
                </c:pt>
                <c:pt idx="2">
                  <c:v>61.904761904761905</c:v>
                </c:pt>
                <c:pt idx="3">
                  <c:v>66.666666666666657</c:v>
                </c:pt>
                <c:pt idx="4">
                  <c:v>76.190476190476133</c:v>
                </c:pt>
              </c:numCache>
            </c:numRef>
          </c:val>
        </c:ser>
        <c:ser>
          <c:idx val="1"/>
          <c:order val="1"/>
          <c:tx>
            <c:strRef>
              <c:f>Sheet2!$M$207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Sheet2!$H$208:$H$212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Sheet2!$M$208:$M$212</c:f>
              <c:numCache>
                <c:formatCode>0</c:formatCode>
                <c:ptCount val="5"/>
                <c:pt idx="0">
                  <c:v>14.285714285714286</c:v>
                </c:pt>
                <c:pt idx="1">
                  <c:v>38.095238095238102</c:v>
                </c:pt>
                <c:pt idx="2">
                  <c:v>38.095238095238102</c:v>
                </c:pt>
                <c:pt idx="3">
                  <c:v>33.333333333333329</c:v>
                </c:pt>
                <c:pt idx="4">
                  <c:v>23.809523809523792</c:v>
                </c:pt>
              </c:numCache>
            </c:numRef>
          </c:val>
        </c:ser>
        <c:dLbls>
          <c:showVal val="1"/>
        </c:dLbls>
        <c:shape val="box"/>
        <c:axId val="46056576"/>
        <c:axId val="46058112"/>
        <c:axId val="0"/>
      </c:bar3DChart>
      <c:catAx>
        <c:axId val="46056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58112"/>
        <c:crosses val="autoZero"/>
        <c:auto val="1"/>
        <c:lblAlgn val="ctr"/>
        <c:lblOffset val="100"/>
      </c:catAx>
      <c:valAx>
        <c:axId val="46058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5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DD7E-D5B6-4071-9EA2-8D469F64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2018-07-31T16:51:00Z</dcterms:created>
  <dcterms:modified xsi:type="dcterms:W3CDTF">2018-07-31T17:00:00Z</dcterms:modified>
</cp:coreProperties>
</file>