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E8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5770B" w:rsidRPr="00B901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E85C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90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B90135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3623C3">
        <w:rPr>
          <w:rFonts w:ascii="Times New Roman" w:hAnsi="Times New Roman" w:cs="Times New Roman"/>
          <w:b/>
          <w:sz w:val="24"/>
          <w:szCs w:val="24"/>
        </w:rPr>
        <w:t>4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3623C3">
        <w:rPr>
          <w:rFonts w:ascii="Times New Roman" w:hAnsi="Times New Roman" w:cs="Times New Roman"/>
          <w:b/>
          <w:sz w:val="24"/>
          <w:szCs w:val="24"/>
        </w:rPr>
        <w:t>5</w:t>
      </w:r>
    </w:p>
    <w:p w:rsidR="00F80E45" w:rsidRPr="00636C35" w:rsidRDefault="00F80E45" w:rsidP="00E85C21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E85C21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BB3BC9" w:rsidRPr="00AC0CEA" w:rsidTr="00BB3B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BB3BC9" w:rsidRPr="00AC0CEA" w:rsidRDefault="00BB3BC9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BB3BC9" w:rsidRPr="00AC0CEA" w:rsidRDefault="00BB3BC9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BB3BC9" w:rsidRPr="00AC0CEA" w:rsidRDefault="00BB3BC9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BB3BC9" w:rsidRPr="00AC0CEA" w:rsidRDefault="00BB3BC9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BB3BC9" w:rsidRPr="00AC0CEA" w:rsidRDefault="00BB3BC9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3BC9" w:rsidRPr="00AC0CEA" w:rsidRDefault="00BB3BC9" w:rsidP="00BB3B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3BC9" w:rsidRPr="00AC0CEA" w:rsidRDefault="00BB3BC9" w:rsidP="00BB3B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3BC9" w:rsidRPr="00AC0CEA" w:rsidRDefault="00BB3BC9" w:rsidP="00BB3B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3BC9" w:rsidRPr="00AC0CEA" w:rsidRDefault="00BB3BC9" w:rsidP="00BB3B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3BC9" w:rsidRPr="00AC0CEA" w:rsidRDefault="00BB3BC9" w:rsidP="00BB3B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BB3BC9" w:rsidRPr="00AC0CEA" w:rsidTr="00BB3B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BB3BC9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863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BB3BC9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B3BC9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B3BC9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B3BC9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B3BC9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E85C21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E85C21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21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E8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BB3BC9" w:rsidRPr="00AC0CEA" w:rsidTr="00BB3B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BB3BC9" w:rsidRPr="00AC0CEA" w:rsidTr="00BB3B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B3BC9" w:rsidP="00BB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5816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3BC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B3BC9" w:rsidRDefault="00BB3BC9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about</w:t>
      </w:r>
      <w:r w:rsidR="00E8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</w:t>
      </w:r>
      <w:r w:rsidR="00E8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BB3BC9" w:rsidRPr="00AC0CEA" w:rsidTr="00BB3B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BB3BC9" w:rsidRPr="00AC0CEA" w:rsidTr="00BB3BC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BC9" w:rsidRDefault="00BB3BC9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B3BC9" w:rsidRPr="00AC0CEA" w:rsidTr="00BB3BC9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3BC9" w:rsidRDefault="00BB3BC9" w:rsidP="00BB3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D40868" w:rsidP="00D40868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3054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85C21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0868" w:rsidRDefault="00D4086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D40868" w:rsidRPr="00AC0CEA" w:rsidTr="00D4086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D40868" w:rsidRPr="00AC0CEA" w:rsidTr="00D4086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0868" w:rsidRDefault="00D4086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40868" w:rsidRPr="00AC0CEA" w:rsidTr="00D4086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0868" w:rsidRDefault="00D40868" w:rsidP="00D4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D40868" w:rsidP="00D4086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84835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08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85C21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79A5" w:rsidRDefault="00B679A5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79A5" w:rsidRDefault="00B679A5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79A5" w:rsidRDefault="00B679A5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79A5" w:rsidRDefault="00B679A5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85C21" w:rsidRDefault="00E85C21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of about criterion V</w:t>
      </w:r>
      <w:r w:rsidR="00E85C21">
        <w:rPr>
          <w:rFonts w:ascii="Times New Roman" w:hAnsi="Times New Roman" w:cs="Times New Roman"/>
          <w:b/>
          <w:sz w:val="24"/>
          <w:szCs w:val="24"/>
        </w:rPr>
        <w:t xml:space="preserve"> Infrastructure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IV students have given overall feedback about 7 different aspects as follows: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B019AD" w:rsidRDefault="00B019AD" w:rsidP="00B019AD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B019AD" w:rsidRDefault="00B019AD" w:rsidP="00B019AD">
      <w:pPr>
        <w:pStyle w:val="ListParagraph"/>
        <w:numPr>
          <w:ilvl w:val="0"/>
          <w:numId w:val="1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B019AD" w:rsidRDefault="00B019AD" w:rsidP="00B019AD">
      <w:pPr>
        <w:pStyle w:val="ListParagraph"/>
        <w:numPr>
          <w:ilvl w:val="0"/>
          <w:numId w:val="1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B019AD" w:rsidRDefault="00B019AD" w:rsidP="00B019AD">
      <w:pPr>
        <w:pStyle w:val="ListParagraph"/>
        <w:numPr>
          <w:ilvl w:val="0"/>
          <w:numId w:val="1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019AD" w:rsidRDefault="00B019AD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given by students about infrastructure </w:t>
      </w:r>
    </w:p>
    <w:tbl>
      <w:tblPr>
        <w:tblStyle w:val="TableGrid"/>
        <w:tblW w:w="3148" w:type="dxa"/>
        <w:jc w:val="center"/>
        <w:tblLook w:val="04A0"/>
      </w:tblPr>
      <w:tblGrid>
        <w:gridCol w:w="960"/>
        <w:gridCol w:w="960"/>
        <w:gridCol w:w="1228"/>
      </w:tblGrid>
      <w:tr w:rsidR="00E85C21" w:rsidRPr="00AC0CEA" w:rsidTr="00E85C21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85C21" w:rsidRDefault="00E85C21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85C21" w:rsidRDefault="00E85C21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</w:t>
            </w:r>
          </w:p>
        </w:tc>
        <w:tc>
          <w:tcPr>
            <w:tcW w:w="1228" w:type="dxa"/>
            <w:shd w:val="clear" w:color="auto" w:fill="F79646" w:themeFill="accent6"/>
            <w:noWrap/>
            <w:vAlign w:val="bottom"/>
            <w:hideMark/>
          </w:tcPr>
          <w:p w:rsidR="00E85C21" w:rsidRDefault="00E85C21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85C21" w:rsidRPr="00AC0CEA" w:rsidTr="00E85C2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8" w:type="dxa"/>
            <w:noWrap/>
            <w:vAlign w:val="bottom"/>
            <w:hideMark/>
          </w:tcPr>
          <w:p w:rsidR="00E85C21" w:rsidRDefault="00E85C21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85C21" w:rsidRPr="00AC0CEA" w:rsidTr="00E85C2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8" w:type="dxa"/>
            <w:noWrap/>
            <w:vAlign w:val="bottom"/>
            <w:hideMark/>
          </w:tcPr>
          <w:p w:rsidR="00E85C21" w:rsidRDefault="00E85C21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85C21" w:rsidRPr="00AC0CEA" w:rsidTr="00E85C2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8" w:type="dxa"/>
            <w:noWrap/>
            <w:vAlign w:val="bottom"/>
            <w:hideMark/>
          </w:tcPr>
          <w:p w:rsidR="00E85C21" w:rsidRDefault="00E85C21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85C21" w:rsidRPr="00AC0CEA" w:rsidTr="00E85C2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28" w:type="dxa"/>
            <w:noWrap/>
            <w:vAlign w:val="bottom"/>
            <w:hideMark/>
          </w:tcPr>
          <w:p w:rsidR="00E85C21" w:rsidRDefault="00E85C21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85C21" w:rsidRPr="00AC0CEA" w:rsidTr="00E85C2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85C21" w:rsidRDefault="00E85C21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228" w:type="dxa"/>
            <w:noWrap/>
            <w:vAlign w:val="bottom"/>
            <w:hideMark/>
          </w:tcPr>
          <w:p w:rsidR="00E85C21" w:rsidRDefault="00E85C21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C21" w:rsidRDefault="00E85C21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C21" w:rsidRDefault="00E85C21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C2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9AD" w:rsidRPr="00C114E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English</w:t>
      </w:r>
      <w:r w:rsidR="00E85C21">
        <w:rPr>
          <w:rFonts w:ascii="Times New Roman" w:hAnsi="Times New Roman" w:cs="Times New Roman"/>
          <w:sz w:val="24"/>
          <w:szCs w:val="24"/>
        </w:rPr>
        <w:t xml:space="preserve"> </w:t>
      </w:r>
      <w:r w:rsidR="00B019AD">
        <w:rPr>
          <w:rFonts w:ascii="Times New Roman" w:hAnsi="Times New Roman" w:cs="Times New Roman"/>
          <w:sz w:val="24"/>
          <w:szCs w:val="24"/>
        </w:rPr>
        <w:t>as Outstanding</w:t>
      </w: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019AD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as Excellent</w:t>
      </w: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E85C21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019AD">
        <w:rPr>
          <w:rFonts w:ascii="Times New Roman" w:hAnsi="Times New Roman" w:cs="Times New Roman"/>
          <w:sz w:val="24"/>
          <w:szCs w:val="24"/>
        </w:rPr>
        <w:t>English as Good</w:t>
      </w: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as Average</w:t>
      </w: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feedbacks of students about criterion VI, VII, VIII, IX and X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bottomFromText="20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019AD" w:rsidTr="00B019AD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</w:tr>
      <w:tr w:rsidR="00B679A5" w:rsidTr="00B2275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79A5" w:rsidTr="00B2275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B679A5" w:rsidTr="00B2275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679A5" w:rsidTr="00B2275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B679A5" w:rsidTr="00B22752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9A5" w:rsidRDefault="00B679A5" w:rsidP="00B67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679A5" w:rsidP="00B0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wish to have counseling by the teachers / experts for their personal or academic problem.</w:t>
      </w: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classes in soft skill and personality development.</w:t>
      </w: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more industrial/ field visits.</w:t>
      </w:r>
    </w:p>
    <w:p w:rsidR="00B019AD" w:rsidRDefault="00B679A5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find a positive change in department activities in this semester.</w:t>
      </w:r>
    </w:p>
    <w:p w:rsidR="00CE3298" w:rsidRPr="00E85C21" w:rsidRDefault="00B679A5" w:rsidP="00D27376">
      <w:pPr>
        <w:pStyle w:val="ListParagraph"/>
        <w:numPr>
          <w:ilvl w:val="0"/>
          <w:numId w:val="19"/>
        </w:num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E85C21">
        <w:rPr>
          <w:rFonts w:ascii="Times New Roman" w:hAnsi="Times New Roman" w:cs="Times New Roman"/>
          <w:b/>
          <w:sz w:val="24"/>
          <w:szCs w:val="24"/>
        </w:rPr>
        <w:t>70</w:t>
      </w:r>
      <w:bookmarkStart w:id="0" w:name="_GoBack"/>
      <w:bookmarkEnd w:id="0"/>
      <w:r w:rsidR="00B019AD" w:rsidRPr="00E85C21">
        <w:rPr>
          <w:rFonts w:ascii="Times New Roman" w:hAnsi="Times New Roman" w:cs="Times New Roman"/>
          <w:b/>
          <w:sz w:val="24"/>
          <w:szCs w:val="24"/>
        </w:rPr>
        <w:t>%</w:t>
      </w:r>
      <w:r w:rsidR="00B019AD" w:rsidRPr="00E85C21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CE3298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9C" w:rsidRDefault="00D4669C" w:rsidP="009569D7">
      <w:pPr>
        <w:spacing w:after="0" w:line="240" w:lineRule="auto"/>
      </w:pPr>
      <w:r>
        <w:separator/>
      </w:r>
    </w:p>
  </w:endnote>
  <w:endnote w:type="continuationSeparator" w:id="1">
    <w:p w:rsidR="00D4669C" w:rsidRDefault="00D4669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9C" w:rsidRDefault="00D4669C" w:rsidP="009569D7">
      <w:pPr>
        <w:spacing w:after="0" w:line="240" w:lineRule="auto"/>
      </w:pPr>
      <w:r>
        <w:separator/>
      </w:r>
    </w:p>
  </w:footnote>
  <w:footnote w:type="continuationSeparator" w:id="1">
    <w:p w:rsidR="00D4669C" w:rsidRDefault="00D4669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2AC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592F"/>
    <w:rsid w:val="00346EA4"/>
    <w:rsid w:val="00347D53"/>
    <w:rsid w:val="00352ED7"/>
    <w:rsid w:val="00356C26"/>
    <w:rsid w:val="00360C79"/>
    <w:rsid w:val="003623C3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52F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251D8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1E58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5770B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19AD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679A5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135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3BC9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0868"/>
    <w:rsid w:val="00D42E1D"/>
    <w:rsid w:val="00D44906"/>
    <w:rsid w:val="00D45093"/>
    <w:rsid w:val="00D4669C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85C21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4-15_MA%20I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4-15_MA%20I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4-15_MA%20I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4-15_MA%20I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4-15_MA%20I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Sheet1!$A$53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Sheet1!$B$52:$E$52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Sheet1!$B$53:$E$53</c:f>
              <c:numCache>
                <c:formatCode>0</c:formatCode>
                <c:ptCount val="4"/>
                <c:pt idx="0">
                  <c:v>23.247232472324711</c:v>
                </c:pt>
                <c:pt idx="1">
                  <c:v>25.641025641025639</c:v>
                </c:pt>
                <c:pt idx="2">
                  <c:v>17.343173431734311</c:v>
                </c:pt>
                <c:pt idx="3">
                  <c:v>22.878228782287824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Sheet1!$B$52:$E$52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Sheet1!$B$54:$E$54</c:f>
              <c:numCache>
                <c:formatCode>0</c:formatCode>
                <c:ptCount val="4"/>
                <c:pt idx="0">
                  <c:v>26.199261992619931</c:v>
                </c:pt>
                <c:pt idx="1">
                  <c:v>25.27472527472526</c:v>
                </c:pt>
                <c:pt idx="2">
                  <c:v>26.937269372693727</c:v>
                </c:pt>
                <c:pt idx="3">
                  <c:v>14.022140221402216</c:v>
                </c:pt>
              </c:numCache>
            </c:numRef>
          </c:val>
        </c:ser>
        <c:ser>
          <c:idx val="2"/>
          <c:order val="2"/>
          <c:tx>
            <c:strRef>
              <c:f>Sheet1!$A$55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Sheet1!$B$52:$E$52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Sheet1!$B$55:$E$55</c:f>
              <c:numCache>
                <c:formatCode>0</c:formatCode>
                <c:ptCount val="4"/>
                <c:pt idx="0">
                  <c:v>15.129151291512915</c:v>
                </c:pt>
                <c:pt idx="1">
                  <c:v>22.344322344322332</c:v>
                </c:pt>
                <c:pt idx="2">
                  <c:v>25.830258302583033</c:v>
                </c:pt>
                <c:pt idx="3">
                  <c:v>31.734317343173426</c:v>
                </c:pt>
              </c:numCache>
            </c:numRef>
          </c:val>
        </c:ser>
        <c:ser>
          <c:idx val="3"/>
          <c:order val="3"/>
          <c:tx>
            <c:strRef>
              <c:f>Sheet1!$A$56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Sheet1!$B$52:$E$52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Sheet1!$B$56:$E$56</c:f>
              <c:numCache>
                <c:formatCode>0</c:formatCode>
                <c:ptCount val="4"/>
                <c:pt idx="0">
                  <c:v>35.424354243542425</c:v>
                </c:pt>
                <c:pt idx="1">
                  <c:v>26.739926739926734</c:v>
                </c:pt>
                <c:pt idx="2">
                  <c:v>29.889298892988929</c:v>
                </c:pt>
                <c:pt idx="3">
                  <c:v>31.365313653136528</c:v>
                </c:pt>
              </c:numCache>
            </c:numRef>
          </c:val>
        </c:ser>
        <c:dLbls>
          <c:showVal val="1"/>
        </c:dLbls>
        <c:shape val="box"/>
        <c:axId val="77234560"/>
        <c:axId val="83744640"/>
        <c:axId val="0"/>
      </c:bar3DChart>
      <c:catAx>
        <c:axId val="77234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744640"/>
        <c:crosses val="autoZero"/>
        <c:auto val="1"/>
        <c:lblAlgn val="ctr"/>
        <c:lblOffset val="100"/>
      </c:catAx>
      <c:valAx>
        <c:axId val="83744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23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Sheet1!$A$105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Sheet1!$B$104:$E$104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Sheet1!$B$105:$E$105</c:f>
              <c:numCache>
                <c:formatCode>0</c:formatCode>
                <c:ptCount val="4"/>
                <c:pt idx="0">
                  <c:v>24.019607843137241</c:v>
                </c:pt>
                <c:pt idx="1">
                  <c:v>20.343137254901947</c:v>
                </c:pt>
                <c:pt idx="2">
                  <c:v>21.130221130221127</c:v>
                </c:pt>
                <c:pt idx="3">
                  <c:v>21.078431372549012</c:v>
                </c:pt>
              </c:numCache>
            </c:numRef>
          </c:val>
        </c:ser>
        <c:ser>
          <c:idx val="1"/>
          <c:order val="1"/>
          <c:tx>
            <c:strRef>
              <c:f>Sheet1!$A$106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Sheet1!$B$104:$E$104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Sheet1!$B$106:$E$106</c:f>
              <c:numCache>
                <c:formatCode>0</c:formatCode>
                <c:ptCount val="4"/>
                <c:pt idx="0">
                  <c:v>21.078431372549012</c:v>
                </c:pt>
                <c:pt idx="1">
                  <c:v>24.754901960784323</c:v>
                </c:pt>
                <c:pt idx="2">
                  <c:v>26.781326781326772</c:v>
                </c:pt>
                <c:pt idx="3">
                  <c:v>17.401960784313733</c:v>
                </c:pt>
              </c:numCache>
            </c:numRef>
          </c:val>
        </c:ser>
        <c:ser>
          <c:idx val="2"/>
          <c:order val="2"/>
          <c:tx>
            <c:strRef>
              <c:f>Sheet1!$A$107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Sheet1!$B$104:$E$104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Sheet1!$B$107:$E$107</c:f>
              <c:numCache>
                <c:formatCode>0</c:formatCode>
                <c:ptCount val="4"/>
                <c:pt idx="0">
                  <c:v>26.47058823529412</c:v>
                </c:pt>
                <c:pt idx="1">
                  <c:v>30.39215686274509</c:v>
                </c:pt>
                <c:pt idx="2">
                  <c:v>28.009828009828016</c:v>
                </c:pt>
                <c:pt idx="3">
                  <c:v>30.637254901960791</c:v>
                </c:pt>
              </c:numCache>
            </c:numRef>
          </c:val>
        </c:ser>
        <c:ser>
          <c:idx val="3"/>
          <c:order val="3"/>
          <c:tx>
            <c:strRef>
              <c:f>Sheet1!$A$108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Sheet1!$B$104:$E$104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Sheet1!$B$108:$E$108</c:f>
              <c:numCache>
                <c:formatCode>0</c:formatCode>
                <c:ptCount val="4"/>
                <c:pt idx="0">
                  <c:v>28.431372549019606</c:v>
                </c:pt>
                <c:pt idx="1">
                  <c:v>24.509803921568633</c:v>
                </c:pt>
                <c:pt idx="2">
                  <c:v>24.07862407862407</c:v>
                </c:pt>
                <c:pt idx="3">
                  <c:v>30.882352941176464</c:v>
                </c:pt>
              </c:numCache>
            </c:numRef>
          </c:val>
        </c:ser>
        <c:dLbls>
          <c:showVal val="1"/>
        </c:dLbls>
        <c:shape val="box"/>
        <c:axId val="93604096"/>
        <c:axId val="96523776"/>
        <c:axId val="0"/>
      </c:bar3DChart>
      <c:catAx>
        <c:axId val="93604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523776"/>
        <c:crosses val="autoZero"/>
        <c:auto val="1"/>
        <c:lblAlgn val="ctr"/>
        <c:lblOffset val="100"/>
      </c:catAx>
      <c:valAx>
        <c:axId val="9652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0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Sheet1!$A$159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Sheet1!$B$158:$E$158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Sheet1!$B$159:$E$159</c:f>
              <c:numCache>
                <c:formatCode>0</c:formatCode>
                <c:ptCount val="4"/>
                <c:pt idx="0">
                  <c:v>28.46153846153846</c:v>
                </c:pt>
                <c:pt idx="1">
                  <c:v>23.84615384615384</c:v>
                </c:pt>
                <c:pt idx="2">
                  <c:v>19.083969465648863</c:v>
                </c:pt>
                <c:pt idx="3">
                  <c:v>24.615384615384624</c:v>
                </c:pt>
              </c:numCache>
            </c:numRef>
          </c:val>
        </c:ser>
        <c:ser>
          <c:idx val="1"/>
          <c:order val="1"/>
          <c:tx>
            <c:strRef>
              <c:f>Sheet1!$A$160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Sheet1!$B$158:$E$158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Sheet1!$B$160:$E$160</c:f>
              <c:numCache>
                <c:formatCode>0</c:formatCode>
                <c:ptCount val="4"/>
                <c:pt idx="0">
                  <c:v>31.538461538461529</c:v>
                </c:pt>
                <c:pt idx="1">
                  <c:v>26.153846153846164</c:v>
                </c:pt>
                <c:pt idx="2">
                  <c:v>16.793893129770993</c:v>
                </c:pt>
                <c:pt idx="3">
                  <c:v>22.30769230769231</c:v>
                </c:pt>
              </c:numCache>
            </c:numRef>
          </c:val>
        </c:ser>
        <c:ser>
          <c:idx val="2"/>
          <c:order val="2"/>
          <c:tx>
            <c:strRef>
              <c:f>Sheet1!$A$161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Sheet1!$B$158:$E$158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Sheet1!$B$161:$E$161</c:f>
              <c:numCache>
                <c:formatCode>0</c:formatCode>
                <c:ptCount val="4"/>
                <c:pt idx="0">
                  <c:v>12.307692307692312</c:v>
                </c:pt>
                <c:pt idx="1">
                  <c:v>22.30769230769231</c:v>
                </c:pt>
                <c:pt idx="2">
                  <c:v>47.328244274809158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Sheet1!$A$162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Sheet1!$B$158:$E$158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Sheet1!$B$162:$E$162</c:f>
              <c:numCache>
                <c:formatCode>0</c:formatCode>
                <c:ptCount val="4"/>
                <c:pt idx="0">
                  <c:v>27.692307692307686</c:v>
                </c:pt>
                <c:pt idx="1">
                  <c:v>27.692307692307686</c:v>
                </c:pt>
                <c:pt idx="2">
                  <c:v>16.793893129770993</c:v>
                </c:pt>
                <c:pt idx="3">
                  <c:v>33.076923076923073</c:v>
                </c:pt>
              </c:numCache>
            </c:numRef>
          </c:val>
        </c:ser>
        <c:dLbls>
          <c:showVal val="1"/>
        </c:dLbls>
        <c:shape val="box"/>
        <c:axId val="45730816"/>
        <c:axId val="45748992"/>
        <c:axId val="0"/>
      </c:bar3DChart>
      <c:catAx>
        <c:axId val="45730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48992"/>
        <c:crosses val="autoZero"/>
        <c:auto val="1"/>
        <c:lblAlgn val="ctr"/>
        <c:lblOffset val="100"/>
      </c:catAx>
      <c:valAx>
        <c:axId val="4574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3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Sheet1!$A$211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Sheet1!$B$210:$E$210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Sheet1!$B$211:$E$211</c:f>
              <c:numCache>
                <c:formatCode>0</c:formatCode>
                <c:ptCount val="4"/>
                <c:pt idx="0">
                  <c:v>27.083333333333311</c:v>
                </c:pt>
                <c:pt idx="1">
                  <c:v>21.875</c:v>
                </c:pt>
                <c:pt idx="2">
                  <c:v>13</c:v>
                </c:pt>
                <c:pt idx="3">
                  <c:v>22.916666666666664</c:v>
                </c:pt>
              </c:numCache>
            </c:numRef>
          </c:val>
        </c:ser>
        <c:ser>
          <c:idx val="1"/>
          <c:order val="1"/>
          <c:tx>
            <c:strRef>
              <c:f>Sheet1!$A$212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Sheet1!$B$210:$E$210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Sheet1!$B$212:$E$212</c:f>
              <c:numCache>
                <c:formatCode>0</c:formatCode>
                <c:ptCount val="4"/>
                <c:pt idx="0">
                  <c:v>15.625</c:v>
                </c:pt>
                <c:pt idx="1">
                  <c:v>21.875</c:v>
                </c:pt>
                <c:pt idx="2">
                  <c:v>24</c:v>
                </c:pt>
                <c:pt idx="3">
                  <c:v>27.083333333333311</c:v>
                </c:pt>
              </c:numCache>
            </c:numRef>
          </c:val>
        </c:ser>
        <c:ser>
          <c:idx val="2"/>
          <c:order val="2"/>
          <c:tx>
            <c:strRef>
              <c:f>Sheet1!$A$213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Sheet1!$B$210:$E$210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Sheet1!$B$213:$E$213</c:f>
              <c:numCache>
                <c:formatCode>0</c:formatCode>
                <c:ptCount val="4"/>
                <c:pt idx="0">
                  <c:v>28.125</c:v>
                </c:pt>
                <c:pt idx="1">
                  <c:v>16.666666666666664</c:v>
                </c:pt>
                <c:pt idx="2">
                  <c:v>18</c:v>
                </c:pt>
                <c:pt idx="3">
                  <c:v>31.25</c:v>
                </c:pt>
              </c:numCache>
            </c:numRef>
          </c:val>
        </c:ser>
        <c:ser>
          <c:idx val="3"/>
          <c:order val="3"/>
          <c:tx>
            <c:strRef>
              <c:f>Sheet1!$A$214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Sheet1!$B$210:$E$210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Sheet1!$B$214:$E$214</c:f>
              <c:numCache>
                <c:formatCode>0</c:formatCode>
                <c:ptCount val="4"/>
                <c:pt idx="0">
                  <c:v>29.166666666666668</c:v>
                </c:pt>
                <c:pt idx="1">
                  <c:v>39.583333333333329</c:v>
                </c:pt>
                <c:pt idx="2">
                  <c:v>45</c:v>
                </c:pt>
                <c:pt idx="3">
                  <c:v>18.75</c:v>
                </c:pt>
              </c:numCache>
            </c:numRef>
          </c:val>
        </c:ser>
        <c:dLbls>
          <c:showVal val="1"/>
        </c:dLbls>
        <c:shape val="box"/>
        <c:axId val="45769472"/>
        <c:axId val="45771008"/>
        <c:axId val="0"/>
      </c:bar3DChart>
      <c:catAx>
        <c:axId val="4576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71008"/>
        <c:crosses val="autoZero"/>
        <c:auto val="1"/>
        <c:lblAlgn val="ctr"/>
        <c:lblOffset val="100"/>
      </c:catAx>
      <c:valAx>
        <c:axId val="45771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6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Sheet1!$A$10:$A$13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Sheet1!$B$10:$B$13</c:f>
              <c:numCache>
                <c:formatCode>General</c:formatCode>
                <c:ptCount val="4"/>
                <c:pt idx="0">
                  <c:v>19</c:v>
                </c:pt>
                <c:pt idx="1">
                  <c:v>24</c:v>
                </c:pt>
                <c:pt idx="2">
                  <c:v>24</c:v>
                </c:pt>
                <c:pt idx="3">
                  <c:v>34</c:v>
                </c:pt>
              </c:numCache>
            </c:numRef>
          </c:val>
        </c:ser>
        <c:dLbls>
          <c:showVal val="1"/>
        </c:dLbls>
        <c:shape val="box"/>
        <c:axId val="45790720"/>
        <c:axId val="45792256"/>
        <c:axId val="0"/>
      </c:bar3DChart>
      <c:catAx>
        <c:axId val="45790720"/>
        <c:scaling>
          <c:orientation val="minMax"/>
        </c:scaling>
        <c:axPos val="b"/>
        <c:tickLblPos val="nextTo"/>
        <c:crossAx val="45792256"/>
        <c:crosses val="autoZero"/>
        <c:auto val="1"/>
        <c:lblAlgn val="ctr"/>
        <c:lblOffset val="100"/>
      </c:catAx>
      <c:valAx>
        <c:axId val="45792256"/>
        <c:scaling>
          <c:orientation val="minMax"/>
        </c:scaling>
        <c:axPos val="l"/>
        <c:numFmt formatCode="General" sourceLinked="1"/>
        <c:tickLblPos val="nextTo"/>
        <c:crossAx val="4579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Sheet1!$L$269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Sheet1!$H$270:$H$274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Sheet1!$L$270:$L$274</c:f>
              <c:numCache>
                <c:formatCode>0</c:formatCode>
                <c:ptCount val="5"/>
                <c:pt idx="0">
                  <c:v>83.333333333333314</c:v>
                </c:pt>
                <c:pt idx="1">
                  <c:v>46.666666666666636</c:v>
                </c:pt>
                <c:pt idx="2">
                  <c:v>70</c:v>
                </c:pt>
                <c:pt idx="3">
                  <c:v>33.333333333333329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Sheet1!$M$269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Sheet1!$H$270:$H$274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Sheet1!$M$270:$M$274</c:f>
              <c:numCache>
                <c:formatCode>0</c:formatCode>
                <c:ptCount val="5"/>
                <c:pt idx="0">
                  <c:v>16.666666666666664</c:v>
                </c:pt>
                <c:pt idx="1">
                  <c:v>53.333333333333336</c:v>
                </c:pt>
                <c:pt idx="2">
                  <c:v>30</c:v>
                </c:pt>
                <c:pt idx="3">
                  <c:v>66.666666666666657</c:v>
                </c:pt>
                <c:pt idx="4">
                  <c:v>30</c:v>
                </c:pt>
              </c:numCache>
            </c:numRef>
          </c:val>
        </c:ser>
        <c:dLbls>
          <c:showVal val="1"/>
        </c:dLbls>
        <c:shape val="box"/>
        <c:axId val="45835776"/>
        <c:axId val="45837312"/>
        <c:axId val="0"/>
      </c:bar3DChart>
      <c:catAx>
        <c:axId val="45835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37312"/>
        <c:crosses val="autoZero"/>
        <c:auto val="1"/>
        <c:lblAlgn val="ctr"/>
        <c:lblOffset val="100"/>
      </c:catAx>
      <c:valAx>
        <c:axId val="45837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3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1A74-1924-4379-BE82-E0BD04F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2018-07-31T16:46:00Z</dcterms:created>
  <dcterms:modified xsi:type="dcterms:W3CDTF">2018-07-31T16:46:00Z</dcterms:modified>
</cp:coreProperties>
</file>