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6B6D9F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6B6D9F">
        <w:rPr>
          <w:rFonts w:ascii="Times New Roman" w:hAnsi="Times New Roman" w:cs="Times New Roman"/>
          <w:b/>
          <w:sz w:val="24"/>
          <w:szCs w:val="24"/>
        </w:rPr>
        <w:t>IV</w:t>
      </w:r>
      <w:r w:rsidR="006B6D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spellEnd"/>
      <w:r w:rsidR="005D1DB4">
        <w:rPr>
          <w:rFonts w:ascii="Times New Roman" w:hAnsi="Times New Roman" w:cs="Times New Roman"/>
          <w:b/>
          <w:sz w:val="24"/>
          <w:szCs w:val="24"/>
        </w:rPr>
        <w:t>, M.</w:t>
      </w:r>
      <w:r w:rsidR="00262D64">
        <w:rPr>
          <w:rFonts w:ascii="Times New Roman" w:hAnsi="Times New Roman" w:cs="Times New Roman"/>
          <w:b/>
          <w:sz w:val="24"/>
          <w:szCs w:val="24"/>
        </w:rPr>
        <w:t>A</w:t>
      </w:r>
      <w:r w:rsidR="005D1D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2D64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473CC" w:rsidRPr="008473CC" w:rsidTr="00261A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p w:rsidR="008473CC" w:rsidRDefault="008473CC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473CC" w:rsidRPr="008473CC" w:rsidTr="00261A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8473CC" w:rsidRPr="008473CC" w:rsidTr="008473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CC" w:rsidRPr="008473CC" w:rsidRDefault="008473CC" w:rsidP="00847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73C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F45FE7" w:rsidRDefault="00F45FE7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F45FE7" w:rsidRDefault="00F45FE7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8473CC" w:rsidP="005C360D">
      <w:pPr>
        <w:tabs>
          <w:tab w:val="left" w:pos="94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31056" cy="1917510"/>
            <wp:effectExtent l="0" t="0" r="3175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8473CC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8473CC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8473CC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8473CC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B02440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B02440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4F28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317B1A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2440">
        <w:rPr>
          <w:rFonts w:ascii="Times New Roman" w:hAnsi="Times New Roman" w:cs="Times New Roman"/>
          <w:sz w:val="24"/>
          <w:szCs w:val="24"/>
        </w:rPr>
        <w:t>6</w:t>
      </w:r>
      <w:r w:rsidR="00E94F28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B02440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94F28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AF585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AF585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AF585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AF5856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5E25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5E25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5E25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5E2592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C41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52C4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C41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52C47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C41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52C47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C4168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52C47">
        <w:rPr>
          <w:rFonts w:ascii="Times New Roman" w:hAnsi="Times New Roman" w:cs="Times New Roman"/>
          <w:sz w:val="24"/>
          <w:szCs w:val="24"/>
        </w:rPr>
        <w:t>Outstanding</w:t>
      </w:r>
    </w:p>
    <w:p w:rsidR="00D27E13" w:rsidRDefault="00D27E13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B74BD" w:rsidRPr="004B74BD" w:rsidTr="00261A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B74BD" w:rsidRPr="004B74BD" w:rsidTr="00261A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4B74BD" w:rsidRPr="004B74BD" w:rsidTr="004B74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BD" w:rsidRPr="004B74BD" w:rsidRDefault="004B74BD" w:rsidP="004B7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4B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5C360D" w:rsidRDefault="005C360D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4B74BD" w:rsidP="00A9310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3691719" cy="1781033"/>
            <wp:effectExtent l="0" t="0" r="444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F42BB" w:rsidRDefault="002962BA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Sub1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261A9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B7127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0D04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261A9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42BB" w:rsidRDefault="00975CC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Sub2</w:t>
      </w:r>
    </w:p>
    <w:p w:rsidR="00656161" w:rsidRPr="00BA70BF" w:rsidRDefault="00261A90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656161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656161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656161" w:rsidRPr="00D549BA" w:rsidRDefault="00261A90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56161">
        <w:rPr>
          <w:rFonts w:ascii="Times New Roman" w:hAnsi="Times New Roman" w:cs="Times New Roman"/>
          <w:sz w:val="24"/>
          <w:szCs w:val="24"/>
        </w:rPr>
        <w:t xml:space="preserve">% </w:t>
      </w:r>
      <w:r w:rsidR="00656161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656161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656161">
        <w:rPr>
          <w:rFonts w:ascii="Times New Roman" w:hAnsi="Times New Roman" w:cs="Times New Roman"/>
          <w:sz w:val="24"/>
          <w:szCs w:val="24"/>
        </w:rPr>
        <w:t>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56161" w:rsidRPr="00D549BA" w:rsidRDefault="00261A90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656161">
        <w:rPr>
          <w:rFonts w:ascii="Times New Roman" w:hAnsi="Times New Roman" w:cs="Times New Roman"/>
          <w:sz w:val="24"/>
          <w:szCs w:val="24"/>
        </w:rPr>
        <w:t>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656161" w:rsidRPr="00D549BA" w:rsidRDefault="00261A90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D3F27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656161">
        <w:rPr>
          <w:rFonts w:ascii="Times New Roman" w:hAnsi="Times New Roman" w:cs="Times New Roman"/>
          <w:sz w:val="24"/>
          <w:szCs w:val="24"/>
        </w:rPr>
        <w:t>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F42BB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Sub3</w:t>
      </w:r>
    </w:p>
    <w:p w:rsidR="00282929" w:rsidRPr="00D549BA" w:rsidRDefault="00261A90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282929" w:rsidRPr="00D549BA" w:rsidRDefault="00261A90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282929" w:rsidRPr="00D549BA" w:rsidRDefault="00261A90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261A90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BB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Sub4</w:t>
      </w:r>
    </w:p>
    <w:p w:rsidR="00B93EDD" w:rsidRPr="00D549BA" w:rsidRDefault="00261A9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3EDD" w:rsidRPr="00D549BA" w:rsidRDefault="001136AE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1A90">
        <w:rPr>
          <w:rFonts w:ascii="Times New Roman" w:hAnsi="Times New Roman" w:cs="Times New Roman"/>
          <w:sz w:val="24"/>
          <w:szCs w:val="24"/>
        </w:rPr>
        <w:t>9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93EDD" w:rsidRPr="00D549BA" w:rsidRDefault="00261A9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261A9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EF42BB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B93EDD" w:rsidRPr="00D549BA" w:rsidRDefault="00261A9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42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3EDD" w:rsidRPr="00D549BA" w:rsidRDefault="00261A9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93EDD" w:rsidRPr="00D549BA" w:rsidRDefault="00261A9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261A9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0112B6">
        <w:rPr>
          <w:rFonts w:ascii="Times New Roman" w:hAnsi="Times New Roman" w:cs="Times New Roman"/>
          <w:b/>
          <w:sz w:val="24"/>
          <w:szCs w:val="24"/>
        </w:rPr>
        <w:t>Semeste</w:t>
      </w:r>
      <w:r w:rsidR="001F3289">
        <w:rPr>
          <w:rFonts w:ascii="Times New Roman" w:hAnsi="Times New Roman" w:cs="Times New Roman"/>
          <w:b/>
          <w:sz w:val="24"/>
          <w:szCs w:val="24"/>
        </w:rPr>
        <w:t>r-</w:t>
      </w:r>
      <w:proofErr w:type="spellStart"/>
      <w:r w:rsidR="001F3289">
        <w:rPr>
          <w:rFonts w:ascii="Times New Roman" w:hAnsi="Times New Roman" w:cs="Times New Roman"/>
          <w:b/>
          <w:sz w:val="24"/>
          <w:szCs w:val="24"/>
        </w:rPr>
        <w:t>IVth</w:t>
      </w:r>
      <w:r w:rsidRPr="00636C35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95831" w:rsidRPr="00595831" w:rsidTr="00261A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95831" w:rsidRPr="00595831" w:rsidTr="00261A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595831" w:rsidRPr="00595831" w:rsidTr="0059583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31" w:rsidRPr="00595831" w:rsidRDefault="00595831" w:rsidP="005958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583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A1F58" w:rsidRDefault="00BA1F58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595831" w:rsidP="00BA1F5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82788" cy="1903863"/>
            <wp:effectExtent l="0" t="0" r="3810" b="12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261A9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261A9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61A9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261A9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7F11D2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261A90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95831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261A90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261A90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261A90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261A90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F4215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261A90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261A90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261A90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261A90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C3547" w:rsidRPr="00236F1C" w:rsidRDefault="00261A90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outstanding</w:t>
      </w:r>
    </w:p>
    <w:p w:rsidR="009C3547" w:rsidRPr="00236F1C" w:rsidRDefault="00261A90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good</w:t>
      </w:r>
    </w:p>
    <w:p w:rsidR="009C3547" w:rsidRDefault="00261A90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average</w:t>
      </w:r>
    </w:p>
    <w:p w:rsidR="00DD306E" w:rsidRDefault="00DD306E" w:rsidP="00DD306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09FB" w:rsidRDefault="007909FB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4A0F12" w:rsidRPr="00236F1C" w:rsidRDefault="00261A90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81A4E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A0F12" w:rsidRPr="00236F1C" w:rsidRDefault="00261A90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outstanding</w:t>
      </w:r>
    </w:p>
    <w:p w:rsidR="004A0F12" w:rsidRPr="00236F1C" w:rsidRDefault="00261A90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good</w:t>
      </w:r>
    </w:p>
    <w:p w:rsidR="004A0F12" w:rsidRDefault="00261A90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average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97861" w:rsidRPr="00297861" w:rsidTr="00261A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</w:tbl>
    <w:p w:rsidR="00297861" w:rsidRDefault="00297861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97861" w:rsidRPr="00297861" w:rsidTr="00261A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297861" w:rsidRPr="00297861" w:rsidTr="002978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61" w:rsidRPr="00297861" w:rsidRDefault="00297861" w:rsidP="00297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786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297861" w:rsidRDefault="00297861" w:rsidP="00297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62316" cy="1665027"/>
            <wp:effectExtent l="0" t="0" r="508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2EB2" w:rsidRDefault="00662EB2" w:rsidP="0066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CC16EE" w:rsidRDefault="00CC16EE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2904" w:rsidRPr="00217009" w:rsidRDefault="00FD2904" w:rsidP="00FD2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09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of about criterion VI, VII, VIII, IX and X</w:t>
      </w:r>
    </w:p>
    <w:p w:rsidR="00FD2904" w:rsidRPr="00217009" w:rsidRDefault="00FD2904" w:rsidP="00FD2904">
      <w:pPr>
        <w:jc w:val="both"/>
        <w:rPr>
          <w:rFonts w:ascii="Times New Roman" w:hAnsi="Times New Roman" w:cs="Times New Roman"/>
          <w:sz w:val="24"/>
          <w:szCs w:val="24"/>
        </w:rPr>
      </w:pPr>
      <w:r w:rsidRPr="00217009">
        <w:rPr>
          <w:rFonts w:ascii="Times New Roman" w:hAnsi="Times New Roman" w:cs="Times New Roman"/>
          <w:sz w:val="24"/>
          <w:szCs w:val="24"/>
        </w:rPr>
        <w:t xml:space="preserve">In part VI, VII, VIII, IX and X the students have to give feedback as yes or no of single question  </w:t>
      </w:r>
    </w:p>
    <w:p w:rsidR="00FD2904" w:rsidRPr="00217009" w:rsidRDefault="00FD2904" w:rsidP="00FD2904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009"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FD2904" w:rsidRPr="009F10F5" w:rsidTr="00EE1731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FD2904" w:rsidRPr="009F10F5" w:rsidTr="00EE1731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904" w:rsidRPr="009F10F5" w:rsidRDefault="00FD2904" w:rsidP="00EE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FD2904" w:rsidRPr="009F10F5" w:rsidTr="00EE173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FD2904" w:rsidRPr="009F10F5" w:rsidTr="00EE173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FD2904" w:rsidRPr="009F10F5" w:rsidTr="00EE173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FD2904" w:rsidRPr="009F10F5" w:rsidTr="00EE173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FD2904" w:rsidRPr="009F10F5" w:rsidTr="00EE1731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04" w:rsidRPr="009F10F5" w:rsidRDefault="00FD2904" w:rsidP="00E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FD2904" w:rsidRDefault="00FD2904" w:rsidP="00FD2904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904" w:rsidRDefault="00FD2904" w:rsidP="00FD2904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904" w:rsidRDefault="00FD2904" w:rsidP="00FD2904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904" w:rsidRPr="000962BF" w:rsidRDefault="00FD2904" w:rsidP="00FD2904">
      <w:pPr>
        <w:rPr>
          <w:rFonts w:ascii="Times New Roman" w:hAnsi="Times New Roman" w:cs="Times New Roman"/>
          <w:sz w:val="24"/>
          <w:szCs w:val="24"/>
        </w:rPr>
      </w:pPr>
    </w:p>
    <w:p w:rsidR="00FD2904" w:rsidRPr="000962BF" w:rsidRDefault="00FD2904" w:rsidP="00FD2904">
      <w:pPr>
        <w:rPr>
          <w:rFonts w:ascii="Times New Roman" w:hAnsi="Times New Roman" w:cs="Times New Roman"/>
          <w:sz w:val="24"/>
          <w:szCs w:val="24"/>
        </w:rPr>
      </w:pPr>
    </w:p>
    <w:p w:rsidR="00FD2904" w:rsidRPr="000962BF" w:rsidRDefault="00FD2904" w:rsidP="00FD2904">
      <w:pPr>
        <w:rPr>
          <w:rFonts w:ascii="Times New Roman" w:hAnsi="Times New Roman" w:cs="Times New Roman"/>
          <w:sz w:val="24"/>
          <w:szCs w:val="24"/>
        </w:rPr>
      </w:pPr>
    </w:p>
    <w:p w:rsidR="00FD2904" w:rsidRPr="000962BF" w:rsidRDefault="00FD2904" w:rsidP="00FD2904">
      <w:pPr>
        <w:rPr>
          <w:rFonts w:ascii="Times New Roman" w:hAnsi="Times New Roman" w:cs="Times New Roman"/>
          <w:sz w:val="24"/>
          <w:szCs w:val="24"/>
        </w:rPr>
      </w:pPr>
    </w:p>
    <w:p w:rsidR="00FD2904" w:rsidRDefault="00FD2904" w:rsidP="00FD2904">
      <w:pPr>
        <w:rPr>
          <w:rFonts w:ascii="Times New Roman" w:hAnsi="Times New Roman" w:cs="Times New Roman"/>
          <w:sz w:val="24"/>
          <w:szCs w:val="24"/>
        </w:rPr>
      </w:pPr>
      <w:r w:rsidRPr="007C3E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90466"/>
            <wp:effectExtent l="19050" t="0" r="22178" b="284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2904" w:rsidRDefault="00FD2904" w:rsidP="00FD2904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FD2904" w:rsidRDefault="00FD2904" w:rsidP="00FD2904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FD2904" w:rsidRDefault="00FD2904" w:rsidP="00FD2904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 xml:space="preserve">wish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industrial/ field visits.</w:t>
      </w:r>
    </w:p>
    <w:p w:rsidR="00FD2904" w:rsidRDefault="00FD2904" w:rsidP="00FD2904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finds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FD2904" w:rsidRDefault="00FD2904" w:rsidP="00FD2904">
      <w:pPr>
        <w:pStyle w:val="ListParagraph"/>
        <w:numPr>
          <w:ilvl w:val="0"/>
          <w:numId w:val="9"/>
        </w:numPr>
        <w:tabs>
          <w:tab w:val="left" w:pos="944"/>
        </w:tabs>
        <w:jc w:val="both"/>
      </w:pPr>
      <w:r w:rsidRPr="00DD3872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DD3872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 w:rsidP="00FD2904">
      <w:pPr>
        <w:jc w:val="both"/>
      </w:pPr>
    </w:p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112B6"/>
    <w:rsid w:val="0005202A"/>
    <w:rsid w:val="00056AC0"/>
    <w:rsid w:val="00066B0A"/>
    <w:rsid w:val="00076D43"/>
    <w:rsid w:val="00081A4E"/>
    <w:rsid w:val="000A0FCB"/>
    <w:rsid w:val="000A4F43"/>
    <w:rsid w:val="000C3B61"/>
    <w:rsid w:val="000C6516"/>
    <w:rsid w:val="000D04ED"/>
    <w:rsid w:val="000D2029"/>
    <w:rsid w:val="000E05D4"/>
    <w:rsid w:val="000E4B90"/>
    <w:rsid w:val="000F3F64"/>
    <w:rsid w:val="00110CCE"/>
    <w:rsid w:val="001136AE"/>
    <w:rsid w:val="00121942"/>
    <w:rsid w:val="001319E4"/>
    <w:rsid w:val="0014512C"/>
    <w:rsid w:val="00147192"/>
    <w:rsid w:val="00176203"/>
    <w:rsid w:val="00183C4C"/>
    <w:rsid w:val="00191CB7"/>
    <w:rsid w:val="0019482F"/>
    <w:rsid w:val="00197A64"/>
    <w:rsid w:val="001A2DA3"/>
    <w:rsid w:val="001B70AC"/>
    <w:rsid w:val="001C132E"/>
    <w:rsid w:val="001C2BFD"/>
    <w:rsid w:val="001D578C"/>
    <w:rsid w:val="001D63FC"/>
    <w:rsid w:val="001F3289"/>
    <w:rsid w:val="00203AC7"/>
    <w:rsid w:val="00230BB0"/>
    <w:rsid w:val="00251366"/>
    <w:rsid w:val="00254934"/>
    <w:rsid w:val="00261A90"/>
    <w:rsid w:val="00262D64"/>
    <w:rsid w:val="00264F9D"/>
    <w:rsid w:val="00280AF1"/>
    <w:rsid w:val="00282929"/>
    <w:rsid w:val="00285D7A"/>
    <w:rsid w:val="00286B7C"/>
    <w:rsid w:val="002962BA"/>
    <w:rsid w:val="00297861"/>
    <w:rsid w:val="002A6386"/>
    <w:rsid w:val="002B4C4D"/>
    <w:rsid w:val="002C4B92"/>
    <w:rsid w:val="002F6BDD"/>
    <w:rsid w:val="00302742"/>
    <w:rsid w:val="00304344"/>
    <w:rsid w:val="00306E70"/>
    <w:rsid w:val="003116F0"/>
    <w:rsid w:val="00317B1A"/>
    <w:rsid w:val="003228F0"/>
    <w:rsid w:val="0033095A"/>
    <w:rsid w:val="0033593E"/>
    <w:rsid w:val="0035233A"/>
    <w:rsid w:val="00371C10"/>
    <w:rsid w:val="00380600"/>
    <w:rsid w:val="00395019"/>
    <w:rsid w:val="00396CF2"/>
    <w:rsid w:val="003B5855"/>
    <w:rsid w:val="003C34AC"/>
    <w:rsid w:val="003D2ECB"/>
    <w:rsid w:val="003D538A"/>
    <w:rsid w:val="003E23BF"/>
    <w:rsid w:val="003F4215"/>
    <w:rsid w:val="004128D2"/>
    <w:rsid w:val="00413812"/>
    <w:rsid w:val="004146AC"/>
    <w:rsid w:val="0041640C"/>
    <w:rsid w:val="004219E2"/>
    <w:rsid w:val="00447BF3"/>
    <w:rsid w:val="004556AB"/>
    <w:rsid w:val="00464FCE"/>
    <w:rsid w:val="00495E01"/>
    <w:rsid w:val="00496D52"/>
    <w:rsid w:val="004A0F12"/>
    <w:rsid w:val="004A2BC8"/>
    <w:rsid w:val="004A306F"/>
    <w:rsid w:val="004B5237"/>
    <w:rsid w:val="004B74BD"/>
    <w:rsid w:val="004F020B"/>
    <w:rsid w:val="004F21A1"/>
    <w:rsid w:val="00505DC8"/>
    <w:rsid w:val="005062A4"/>
    <w:rsid w:val="0052507C"/>
    <w:rsid w:val="00542312"/>
    <w:rsid w:val="00581B19"/>
    <w:rsid w:val="00595831"/>
    <w:rsid w:val="005A1246"/>
    <w:rsid w:val="005A4137"/>
    <w:rsid w:val="005A79B8"/>
    <w:rsid w:val="005B41B7"/>
    <w:rsid w:val="005C360D"/>
    <w:rsid w:val="005C538C"/>
    <w:rsid w:val="005D1DB4"/>
    <w:rsid w:val="005D4CC0"/>
    <w:rsid w:val="005D64A9"/>
    <w:rsid w:val="005E2592"/>
    <w:rsid w:val="005F4E2D"/>
    <w:rsid w:val="00626B2E"/>
    <w:rsid w:val="00633736"/>
    <w:rsid w:val="00645430"/>
    <w:rsid w:val="00656161"/>
    <w:rsid w:val="00657D79"/>
    <w:rsid w:val="00657FB8"/>
    <w:rsid w:val="00662EB2"/>
    <w:rsid w:val="00670E3D"/>
    <w:rsid w:val="006726F0"/>
    <w:rsid w:val="006763EB"/>
    <w:rsid w:val="00676762"/>
    <w:rsid w:val="006831EE"/>
    <w:rsid w:val="006869D5"/>
    <w:rsid w:val="0068787E"/>
    <w:rsid w:val="00695836"/>
    <w:rsid w:val="006B6D9F"/>
    <w:rsid w:val="006D036E"/>
    <w:rsid w:val="006D3F27"/>
    <w:rsid w:val="007032BB"/>
    <w:rsid w:val="0071566C"/>
    <w:rsid w:val="007274DF"/>
    <w:rsid w:val="00743463"/>
    <w:rsid w:val="00774E72"/>
    <w:rsid w:val="0077651B"/>
    <w:rsid w:val="007879C1"/>
    <w:rsid w:val="007909FB"/>
    <w:rsid w:val="007A2961"/>
    <w:rsid w:val="007B05EA"/>
    <w:rsid w:val="007B06BC"/>
    <w:rsid w:val="007C2B5B"/>
    <w:rsid w:val="007C57AF"/>
    <w:rsid w:val="007C608D"/>
    <w:rsid w:val="007E2B49"/>
    <w:rsid w:val="007F11D2"/>
    <w:rsid w:val="0080001D"/>
    <w:rsid w:val="008141C0"/>
    <w:rsid w:val="008473CC"/>
    <w:rsid w:val="00873F82"/>
    <w:rsid w:val="008B0A6A"/>
    <w:rsid w:val="008B22B6"/>
    <w:rsid w:val="008B2FE5"/>
    <w:rsid w:val="008B716D"/>
    <w:rsid w:val="008C2989"/>
    <w:rsid w:val="008E1DF4"/>
    <w:rsid w:val="008F193C"/>
    <w:rsid w:val="008F51BA"/>
    <w:rsid w:val="00906BA7"/>
    <w:rsid w:val="00910C30"/>
    <w:rsid w:val="00913EDD"/>
    <w:rsid w:val="009361BD"/>
    <w:rsid w:val="00947DE6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636E7"/>
    <w:rsid w:val="00A70F00"/>
    <w:rsid w:val="00A7224B"/>
    <w:rsid w:val="00A82345"/>
    <w:rsid w:val="00A84F61"/>
    <w:rsid w:val="00A9310E"/>
    <w:rsid w:val="00A97467"/>
    <w:rsid w:val="00AA313A"/>
    <w:rsid w:val="00AA3250"/>
    <w:rsid w:val="00AA5B33"/>
    <w:rsid w:val="00AB0B42"/>
    <w:rsid w:val="00AB0E1A"/>
    <w:rsid w:val="00AC0447"/>
    <w:rsid w:val="00AD1094"/>
    <w:rsid w:val="00AD337A"/>
    <w:rsid w:val="00AD4483"/>
    <w:rsid w:val="00AE09EB"/>
    <w:rsid w:val="00AE539E"/>
    <w:rsid w:val="00AF5856"/>
    <w:rsid w:val="00B02440"/>
    <w:rsid w:val="00B13025"/>
    <w:rsid w:val="00B400B6"/>
    <w:rsid w:val="00B42408"/>
    <w:rsid w:val="00B43394"/>
    <w:rsid w:val="00B60306"/>
    <w:rsid w:val="00B62622"/>
    <w:rsid w:val="00B65F35"/>
    <w:rsid w:val="00B7127D"/>
    <w:rsid w:val="00B8628D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0B00"/>
    <w:rsid w:val="00C12CBA"/>
    <w:rsid w:val="00C35B5A"/>
    <w:rsid w:val="00C41680"/>
    <w:rsid w:val="00C62D87"/>
    <w:rsid w:val="00C92A9B"/>
    <w:rsid w:val="00CA2440"/>
    <w:rsid w:val="00CC16EE"/>
    <w:rsid w:val="00CD133F"/>
    <w:rsid w:val="00CD5DAE"/>
    <w:rsid w:val="00CE3D74"/>
    <w:rsid w:val="00CE64CA"/>
    <w:rsid w:val="00CF2AA4"/>
    <w:rsid w:val="00CF47F4"/>
    <w:rsid w:val="00CF4EA1"/>
    <w:rsid w:val="00CF6F1F"/>
    <w:rsid w:val="00D02742"/>
    <w:rsid w:val="00D10101"/>
    <w:rsid w:val="00D11BFD"/>
    <w:rsid w:val="00D15FA3"/>
    <w:rsid w:val="00D26A68"/>
    <w:rsid w:val="00D27E13"/>
    <w:rsid w:val="00D366AC"/>
    <w:rsid w:val="00D4111C"/>
    <w:rsid w:val="00D43242"/>
    <w:rsid w:val="00D46887"/>
    <w:rsid w:val="00D52C47"/>
    <w:rsid w:val="00D52FB4"/>
    <w:rsid w:val="00D57171"/>
    <w:rsid w:val="00D57EC8"/>
    <w:rsid w:val="00D61FD2"/>
    <w:rsid w:val="00D702A7"/>
    <w:rsid w:val="00D72A3A"/>
    <w:rsid w:val="00D82A74"/>
    <w:rsid w:val="00D944E9"/>
    <w:rsid w:val="00DB59FB"/>
    <w:rsid w:val="00DD306E"/>
    <w:rsid w:val="00DF6076"/>
    <w:rsid w:val="00E14F6E"/>
    <w:rsid w:val="00E30BB4"/>
    <w:rsid w:val="00E330BE"/>
    <w:rsid w:val="00E34B79"/>
    <w:rsid w:val="00E40FDB"/>
    <w:rsid w:val="00E64D03"/>
    <w:rsid w:val="00E67BDD"/>
    <w:rsid w:val="00E70C58"/>
    <w:rsid w:val="00E94F28"/>
    <w:rsid w:val="00EA3330"/>
    <w:rsid w:val="00EC214B"/>
    <w:rsid w:val="00EC3B62"/>
    <w:rsid w:val="00EC5E92"/>
    <w:rsid w:val="00EF16A5"/>
    <w:rsid w:val="00EF42BB"/>
    <w:rsid w:val="00EF6553"/>
    <w:rsid w:val="00F0473F"/>
    <w:rsid w:val="00F06649"/>
    <w:rsid w:val="00F12557"/>
    <w:rsid w:val="00F17C7B"/>
    <w:rsid w:val="00F32F46"/>
    <w:rsid w:val="00F44D0A"/>
    <w:rsid w:val="00F45FE7"/>
    <w:rsid w:val="00F50D6C"/>
    <w:rsid w:val="00F51018"/>
    <w:rsid w:val="00F52C7F"/>
    <w:rsid w:val="00F60BB6"/>
    <w:rsid w:val="00F76D3F"/>
    <w:rsid w:val="00F77A7E"/>
    <w:rsid w:val="00F80D61"/>
    <w:rsid w:val="00FB5D33"/>
    <w:rsid w:val="00FD2904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MA_ENG_4TH.SEM!$A$146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MA_ENG_4TH.SEM!$B$145:$F$145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MA_ENG_4TH.SEM!$B$146:$F$146</c:f>
              <c:numCache>
                <c:formatCode>0</c:formatCode>
                <c:ptCount val="5"/>
                <c:pt idx="0">
                  <c:v>18.055555555555554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10.526315789473676</c:v>
                </c:pt>
              </c:numCache>
            </c:numRef>
          </c:val>
        </c:ser>
        <c:ser>
          <c:idx val="1"/>
          <c:order val="1"/>
          <c:tx>
            <c:strRef>
              <c:f>MA_ENG_4TH.SEM!$A$147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MA_ENG_4TH.SEM!$B$145:$F$145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MA_ENG_4TH.SEM!$B$147:$F$147</c:f>
              <c:numCache>
                <c:formatCode>0</c:formatCode>
                <c:ptCount val="5"/>
                <c:pt idx="0">
                  <c:v>19.444444444444446</c:v>
                </c:pt>
                <c:pt idx="1">
                  <c:v>28.571428571428569</c:v>
                </c:pt>
                <c:pt idx="2">
                  <c:v>27.142857142857157</c:v>
                </c:pt>
                <c:pt idx="3">
                  <c:v>30</c:v>
                </c:pt>
                <c:pt idx="4">
                  <c:v>26.315789473684209</c:v>
                </c:pt>
              </c:numCache>
            </c:numRef>
          </c:val>
        </c:ser>
        <c:ser>
          <c:idx val="2"/>
          <c:order val="2"/>
          <c:tx>
            <c:strRef>
              <c:f>MA_ENG_4TH.SEM!$A$148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MA_ENG_4TH.SEM!$B$145:$F$145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MA_ENG_4TH.SEM!$B$148:$F$148</c:f>
              <c:numCache>
                <c:formatCode>0</c:formatCode>
                <c:ptCount val="5"/>
                <c:pt idx="0">
                  <c:v>30.555555555555557</c:v>
                </c:pt>
                <c:pt idx="1">
                  <c:v>35.714285714285715</c:v>
                </c:pt>
                <c:pt idx="2">
                  <c:v>31.428571428571427</c:v>
                </c:pt>
                <c:pt idx="3">
                  <c:v>27.142857142857157</c:v>
                </c:pt>
                <c:pt idx="4">
                  <c:v>24.5614035087719</c:v>
                </c:pt>
              </c:numCache>
            </c:numRef>
          </c:val>
        </c:ser>
        <c:ser>
          <c:idx val="3"/>
          <c:order val="3"/>
          <c:tx>
            <c:strRef>
              <c:f>MA_ENG_4TH.SEM!$A$149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MA_ENG_4TH.SEM!$B$145:$F$145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MA_ENG_4TH.SEM!$B$149:$F$149</c:f>
              <c:numCache>
                <c:formatCode>0</c:formatCode>
                <c:ptCount val="5"/>
                <c:pt idx="0">
                  <c:v>31.944444444444443</c:v>
                </c:pt>
                <c:pt idx="1">
                  <c:v>25.714285714285737</c:v>
                </c:pt>
                <c:pt idx="2">
                  <c:v>31.428571428571427</c:v>
                </c:pt>
                <c:pt idx="3">
                  <c:v>32.857142857142819</c:v>
                </c:pt>
                <c:pt idx="4">
                  <c:v>38.596491228070199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540288"/>
        <c:axId val="44541824"/>
        <c:axId val="0"/>
      </c:bar3DChart>
      <c:catAx>
        <c:axId val="44540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541824"/>
        <c:crosses val="autoZero"/>
        <c:auto val="1"/>
        <c:lblAlgn val="ctr"/>
        <c:lblOffset val="100"/>
        <c:noMultiLvlLbl val="0"/>
      </c:catAx>
      <c:valAx>
        <c:axId val="4454182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5402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MA_ENG_4TH.SEM!$H$146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MA_ENG_4TH.SEM!$I$145:$M$145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MA_ENG_4TH.SEM!$I$146:$M$146</c:f>
              <c:numCache>
                <c:formatCode>0</c:formatCode>
                <c:ptCount val="5"/>
                <c:pt idx="0">
                  <c:v>8.3333333333333321</c:v>
                </c:pt>
                <c:pt idx="1">
                  <c:v>15.09433962264151</c:v>
                </c:pt>
                <c:pt idx="2">
                  <c:v>14.15094339622642</c:v>
                </c:pt>
                <c:pt idx="3">
                  <c:v>7.6190476190476195</c:v>
                </c:pt>
                <c:pt idx="4">
                  <c:v>8.2191780821917639</c:v>
                </c:pt>
              </c:numCache>
            </c:numRef>
          </c:val>
        </c:ser>
        <c:ser>
          <c:idx val="1"/>
          <c:order val="1"/>
          <c:tx>
            <c:strRef>
              <c:f>MA_ENG_4TH.SEM!$H$147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MA_ENG_4TH.SEM!$I$145:$M$145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MA_ENG_4TH.SEM!$I$147:$M$147</c:f>
              <c:numCache>
                <c:formatCode>0</c:formatCode>
                <c:ptCount val="5"/>
                <c:pt idx="0">
                  <c:v>20.370370370370356</c:v>
                </c:pt>
                <c:pt idx="1">
                  <c:v>21.698113207547156</c:v>
                </c:pt>
                <c:pt idx="2">
                  <c:v>34.905660377358458</c:v>
                </c:pt>
                <c:pt idx="3">
                  <c:v>20.952380952380931</c:v>
                </c:pt>
                <c:pt idx="4">
                  <c:v>26.027397260273972</c:v>
                </c:pt>
              </c:numCache>
            </c:numRef>
          </c:val>
        </c:ser>
        <c:ser>
          <c:idx val="2"/>
          <c:order val="2"/>
          <c:tx>
            <c:strRef>
              <c:f>MA_ENG_4TH.SEM!$H$148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MA_ENG_4TH.SEM!$I$145:$M$145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MA_ENG_4TH.SEM!$I$148:$M$148</c:f>
              <c:numCache>
                <c:formatCode>0</c:formatCode>
                <c:ptCount val="5"/>
                <c:pt idx="0">
                  <c:v>20.370370370370356</c:v>
                </c:pt>
                <c:pt idx="1">
                  <c:v>23.584905660377359</c:v>
                </c:pt>
                <c:pt idx="2">
                  <c:v>19.811320754716991</c:v>
                </c:pt>
                <c:pt idx="3">
                  <c:v>28.571428571428569</c:v>
                </c:pt>
                <c:pt idx="4">
                  <c:v>23.287671232876697</c:v>
                </c:pt>
              </c:numCache>
            </c:numRef>
          </c:val>
        </c:ser>
        <c:ser>
          <c:idx val="3"/>
          <c:order val="3"/>
          <c:tx>
            <c:strRef>
              <c:f>MA_ENG_4TH.SEM!$H$149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MA_ENG_4TH.SEM!$I$145:$M$145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MA_ENG_4TH.SEM!$I$149:$M$149</c:f>
              <c:numCache>
                <c:formatCode>0</c:formatCode>
                <c:ptCount val="5"/>
                <c:pt idx="0">
                  <c:v>50.925925925925995</c:v>
                </c:pt>
                <c:pt idx="1">
                  <c:v>39.622641509433954</c:v>
                </c:pt>
                <c:pt idx="2">
                  <c:v>31.132075471698137</c:v>
                </c:pt>
                <c:pt idx="3">
                  <c:v>42.857142857142819</c:v>
                </c:pt>
                <c:pt idx="4">
                  <c:v>42.465753424657535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816640"/>
        <c:axId val="44957696"/>
        <c:axId val="0"/>
      </c:bar3DChart>
      <c:catAx>
        <c:axId val="44816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957696"/>
        <c:crosses val="autoZero"/>
        <c:auto val="1"/>
        <c:lblAlgn val="ctr"/>
        <c:lblOffset val="100"/>
        <c:noMultiLvlLbl val="0"/>
      </c:catAx>
      <c:valAx>
        <c:axId val="4495769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816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MA_ENG_4TH.SEM!$O$146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MA_ENG_4TH.SEM!$P$145:$T$145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MA_ENG_4TH.SEM!$P$146:$T$146</c:f>
              <c:numCache>
                <c:formatCode>0</c:formatCode>
                <c:ptCount val="5"/>
                <c:pt idx="0">
                  <c:v>19.444444444444446</c:v>
                </c:pt>
                <c:pt idx="1">
                  <c:v>8.3333333333333321</c:v>
                </c:pt>
                <c:pt idx="2">
                  <c:v>11.428571428571416</c:v>
                </c:pt>
                <c:pt idx="3">
                  <c:v>20</c:v>
                </c:pt>
                <c:pt idx="4">
                  <c:v>8.3333333333333321</c:v>
                </c:pt>
              </c:numCache>
            </c:numRef>
          </c:val>
        </c:ser>
        <c:ser>
          <c:idx val="1"/>
          <c:order val="1"/>
          <c:tx>
            <c:strRef>
              <c:f>MA_ENG_4TH.SEM!$O$147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MA_ENG_4TH.SEM!$P$145:$T$145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MA_ENG_4TH.SEM!$P$147:$T$147</c:f>
              <c:numCache>
                <c:formatCode>0</c:formatCode>
                <c:ptCount val="5"/>
                <c:pt idx="0">
                  <c:v>25</c:v>
                </c:pt>
                <c:pt idx="1">
                  <c:v>30.555555555555557</c:v>
                </c:pt>
                <c:pt idx="2">
                  <c:v>37.142857142857153</c:v>
                </c:pt>
                <c:pt idx="3">
                  <c:v>25.714285714285737</c:v>
                </c:pt>
                <c:pt idx="4">
                  <c:v>29.166666666666668</c:v>
                </c:pt>
              </c:numCache>
            </c:numRef>
          </c:val>
        </c:ser>
        <c:ser>
          <c:idx val="2"/>
          <c:order val="2"/>
          <c:tx>
            <c:strRef>
              <c:f>MA_ENG_4TH.SEM!$O$148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MA_ENG_4TH.SEM!$P$145:$T$145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MA_ENG_4TH.SEM!$P$148:$T$148</c:f>
              <c:numCache>
                <c:formatCode>0</c:formatCode>
                <c:ptCount val="5"/>
                <c:pt idx="0">
                  <c:v>13.888888888888889</c:v>
                </c:pt>
                <c:pt idx="1">
                  <c:v>19.444444444444446</c:v>
                </c:pt>
                <c:pt idx="2">
                  <c:v>17.142857142857157</c:v>
                </c:pt>
                <c:pt idx="3">
                  <c:v>14.285714285714286</c:v>
                </c:pt>
                <c:pt idx="4">
                  <c:v>16.666666666666664</c:v>
                </c:pt>
              </c:numCache>
            </c:numRef>
          </c:val>
        </c:ser>
        <c:ser>
          <c:idx val="3"/>
          <c:order val="3"/>
          <c:tx>
            <c:strRef>
              <c:f>MA_ENG_4TH.SEM!$O$149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MA_ENG_4TH.SEM!$P$145:$T$145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MA_ENG_4TH.SEM!$P$149:$T$149</c:f>
              <c:numCache>
                <c:formatCode>0</c:formatCode>
                <c:ptCount val="5"/>
                <c:pt idx="0">
                  <c:v>41.666666666666615</c:v>
                </c:pt>
                <c:pt idx="1">
                  <c:v>41.666666666666615</c:v>
                </c:pt>
                <c:pt idx="2">
                  <c:v>34.285714285714285</c:v>
                </c:pt>
                <c:pt idx="3">
                  <c:v>40</c:v>
                </c:pt>
                <c:pt idx="4">
                  <c:v>45.833333333333329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982656"/>
        <c:axId val="44984192"/>
        <c:axId val="0"/>
      </c:bar3DChart>
      <c:catAx>
        <c:axId val="44982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984192"/>
        <c:crosses val="autoZero"/>
        <c:auto val="1"/>
        <c:lblAlgn val="ctr"/>
        <c:lblOffset val="100"/>
        <c:noMultiLvlLbl val="0"/>
      </c:catAx>
      <c:valAx>
        <c:axId val="4498419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4982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MA_ENG_4TH.SEM!$V$146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MA_ENG_4TH.SEM!$W$145:$AA$145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MA_ENG_4TH.SEM!$W$146:$AA$146</c:f>
              <c:numCache>
                <c:formatCode>0</c:formatCode>
                <c:ptCount val="5"/>
                <c:pt idx="0">
                  <c:v>34.210526315789473</c:v>
                </c:pt>
                <c:pt idx="1">
                  <c:v>24.324324324324326</c:v>
                </c:pt>
                <c:pt idx="2">
                  <c:v>18.91891891891893</c:v>
                </c:pt>
                <c:pt idx="3">
                  <c:v>21.621621621621621</c:v>
                </c:pt>
                <c:pt idx="4">
                  <c:v>13.636363636363635</c:v>
                </c:pt>
              </c:numCache>
            </c:numRef>
          </c:val>
        </c:ser>
        <c:ser>
          <c:idx val="1"/>
          <c:order val="1"/>
          <c:tx>
            <c:strRef>
              <c:f>MA_ENG_4TH.SEM!$V$147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MA_ENG_4TH.SEM!$W$145:$AA$145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MA_ENG_4TH.SEM!$W$147:$AA$147</c:f>
              <c:numCache>
                <c:formatCode>0</c:formatCode>
                <c:ptCount val="5"/>
                <c:pt idx="0">
                  <c:v>7.8947368421052548</c:v>
                </c:pt>
                <c:pt idx="1">
                  <c:v>16.216216216216218</c:v>
                </c:pt>
                <c:pt idx="2">
                  <c:v>29.729729729729712</c:v>
                </c:pt>
                <c:pt idx="3">
                  <c:v>8.1081081081081017</c:v>
                </c:pt>
                <c:pt idx="4">
                  <c:v>4.5454545454545459</c:v>
                </c:pt>
              </c:numCache>
            </c:numRef>
          </c:val>
        </c:ser>
        <c:ser>
          <c:idx val="2"/>
          <c:order val="2"/>
          <c:tx>
            <c:strRef>
              <c:f>MA_ENG_4TH.SEM!$V$148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MA_ENG_4TH.SEM!$W$145:$AA$145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MA_ENG_4TH.SEM!$W$148:$AA$148</c:f>
              <c:numCache>
                <c:formatCode>0</c:formatCode>
                <c:ptCount val="5"/>
                <c:pt idx="0">
                  <c:v>26.315789473684209</c:v>
                </c:pt>
                <c:pt idx="1">
                  <c:v>24.324324324324326</c:v>
                </c:pt>
                <c:pt idx="2">
                  <c:v>24.324324324324326</c:v>
                </c:pt>
                <c:pt idx="3">
                  <c:v>35.135135135135194</c:v>
                </c:pt>
                <c:pt idx="4">
                  <c:v>22.72727272727273</c:v>
                </c:pt>
              </c:numCache>
            </c:numRef>
          </c:val>
        </c:ser>
        <c:ser>
          <c:idx val="3"/>
          <c:order val="3"/>
          <c:tx>
            <c:strRef>
              <c:f>MA_ENG_4TH.SEM!$V$149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MA_ENG_4TH.SEM!$W$145:$AA$145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MA_ENG_4TH.SEM!$W$149:$AA$149</c:f>
              <c:numCache>
                <c:formatCode>0</c:formatCode>
                <c:ptCount val="5"/>
                <c:pt idx="0">
                  <c:v>31.578947368421037</c:v>
                </c:pt>
                <c:pt idx="1">
                  <c:v>35.135135135135194</c:v>
                </c:pt>
                <c:pt idx="2">
                  <c:v>27.027027027027028</c:v>
                </c:pt>
                <c:pt idx="3">
                  <c:v>35.135135135135194</c:v>
                </c:pt>
                <c:pt idx="4">
                  <c:v>59.090909090909122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091072"/>
        <c:axId val="45105152"/>
        <c:axId val="0"/>
      </c:bar3DChart>
      <c:catAx>
        <c:axId val="45091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5105152"/>
        <c:crosses val="autoZero"/>
        <c:auto val="1"/>
        <c:lblAlgn val="ctr"/>
        <c:lblOffset val="100"/>
        <c:noMultiLvlLbl val="0"/>
      </c:catAx>
      <c:valAx>
        <c:axId val="4510515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5091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Sheet1!$F$23:$F$24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cat>
            <c:strRef>
              <c:f>Sheet1!$E$25:$E$29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Sheet1!$F$25:$F$29</c:f>
              <c:numCache>
                <c:formatCode>General</c:formatCode>
                <c:ptCount val="5"/>
                <c:pt idx="0">
                  <c:v>48</c:v>
                </c:pt>
                <c:pt idx="1">
                  <c:v>80</c:v>
                </c:pt>
                <c:pt idx="2">
                  <c:v>78</c:v>
                </c:pt>
                <c:pt idx="3">
                  <c:v>68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Sheet1!$G$23:$G$24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cat>
            <c:strRef>
              <c:f>Sheet1!$E$25:$E$29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Sheet1!$G$25:$G$29</c:f>
              <c:numCache>
                <c:formatCode>General</c:formatCode>
                <c:ptCount val="5"/>
                <c:pt idx="0">
                  <c:v>52</c:v>
                </c:pt>
                <c:pt idx="1">
                  <c:v>20</c:v>
                </c:pt>
                <c:pt idx="2">
                  <c:v>22</c:v>
                </c:pt>
                <c:pt idx="3">
                  <c:v>32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143168"/>
        <c:axId val="45144704"/>
        <c:axId val="0"/>
      </c:bar3DChart>
      <c:catAx>
        <c:axId val="4514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45144704"/>
        <c:crosses val="autoZero"/>
        <c:auto val="1"/>
        <c:lblAlgn val="ctr"/>
        <c:lblOffset val="100"/>
        <c:noMultiLvlLbl val="0"/>
      </c:catAx>
      <c:valAx>
        <c:axId val="45144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514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060D-0440-4060-BD90-AD383E24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3</cp:revision>
  <dcterms:created xsi:type="dcterms:W3CDTF">2018-06-06T17:16:00Z</dcterms:created>
  <dcterms:modified xsi:type="dcterms:W3CDTF">2018-10-16T10:59:00Z</dcterms:modified>
</cp:coreProperties>
</file>