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4B5237">
        <w:rPr>
          <w:rFonts w:ascii="Times New Roman" w:hAnsi="Times New Roman" w:cs="Times New Roman"/>
          <w:b/>
          <w:sz w:val="24"/>
          <w:szCs w:val="24"/>
        </w:rPr>
        <w:t>Semester- II</w:t>
      </w:r>
      <w:r w:rsidR="006726F0" w:rsidRPr="004B523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D1DB4">
        <w:rPr>
          <w:rFonts w:ascii="Times New Roman" w:hAnsi="Times New Roman" w:cs="Times New Roman"/>
          <w:b/>
          <w:sz w:val="24"/>
          <w:szCs w:val="24"/>
        </w:rPr>
        <w:t>, M.</w:t>
      </w:r>
      <w:r w:rsidR="00262D64">
        <w:rPr>
          <w:rFonts w:ascii="Times New Roman" w:hAnsi="Times New Roman" w:cs="Times New Roman"/>
          <w:b/>
          <w:sz w:val="24"/>
          <w:szCs w:val="24"/>
        </w:rPr>
        <w:t>A</w:t>
      </w:r>
      <w:r w:rsidR="005D1D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2D6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45FE7" w:rsidRPr="00F45FE7" w:rsidTr="0024558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F45FE7" w:rsidRPr="00F45FE7" w:rsidTr="00F45F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45FE7" w:rsidRPr="00F45FE7" w:rsidTr="00F45F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45FE7" w:rsidRPr="00F45FE7" w:rsidTr="00F45F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45FE7" w:rsidRPr="00F45FE7" w:rsidTr="00F45F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45FE7" w:rsidRPr="00F45FE7" w:rsidTr="00F45F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</w:tbl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45FE7" w:rsidRPr="00F45FE7" w:rsidTr="0024558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F45FE7" w:rsidRPr="00F45FE7" w:rsidTr="0080001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45FE7" w:rsidRPr="00F45FE7" w:rsidTr="0080001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45FE7" w:rsidRPr="00F45FE7" w:rsidTr="0080001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45FE7" w:rsidRPr="00F45FE7" w:rsidTr="0080001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E7" w:rsidRPr="00F45FE7" w:rsidRDefault="00F45FE7" w:rsidP="00F45F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FE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F45FE7" w:rsidRDefault="00F45FE7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F45FE7" w:rsidP="005C360D">
      <w:pPr>
        <w:tabs>
          <w:tab w:val="left" w:pos="94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56244" cy="1965278"/>
            <wp:effectExtent l="0" t="0" r="63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ED2289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  <w:r w:rsidR="0024558D">
        <w:rPr>
          <w:b/>
          <w:noProof/>
          <w:sz w:val="24"/>
          <w:szCs w:val="24"/>
          <w:lang w:val="en-IN" w:eastAsia="en-IN"/>
        </w:rPr>
        <w:t xml:space="preserve"> </w:t>
      </w:r>
    </w:p>
    <w:p w:rsidR="00F44D0A" w:rsidRDefault="005A1246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5A1246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5A1246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5A1246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ED2289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317B1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317B1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F28">
        <w:rPr>
          <w:rFonts w:ascii="Times New Roman" w:hAnsi="Times New Roman" w:cs="Times New Roman"/>
          <w:sz w:val="24"/>
          <w:szCs w:val="24"/>
        </w:rPr>
        <w:t>0%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317B1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E64CA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317B1A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E94F28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F6553">
        <w:rPr>
          <w:rFonts w:ascii="Times New Roman" w:hAnsi="Times New Roman" w:cs="Times New Roman"/>
          <w:sz w:val="24"/>
          <w:szCs w:val="24"/>
        </w:rPr>
        <w:t>SUB</w:t>
      </w:r>
      <w:r w:rsidR="00CE64CA">
        <w:rPr>
          <w:rFonts w:ascii="Times New Roman" w:hAnsi="Times New Roman" w:cs="Times New Roman"/>
          <w:sz w:val="24"/>
          <w:szCs w:val="24"/>
        </w:rPr>
        <w:t>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2289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  <w:r w:rsidR="0024558D">
        <w:rPr>
          <w:b/>
          <w:noProof/>
          <w:sz w:val="24"/>
          <w:szCs w:val="24"/>
          <w:lang w:val="en-IN" w:eastAsia="en-IN"/>
        </w:rPr>
        <w:t xml:space="preserve"> </w:t>
      </w:r>
    </w:p>
    <w:p w:rsidR="00AB0E1A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2289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  <w:r w:rsidR="0024558D">
        <w:rPr>
          <w:b/>
          <w:noProof/>
          <w:sz w:val="24"/>
          <w:szCs w:val="24"/>
          <w:lang w:val="en-IN" w:eastAsia="en-IN"/>
        </w:rPr>
        <w:t xml:space="preserve"> </w:t>
      </w:r>
    </w:p>
    <w:p w:rsidR="00AB0E1A" w:rsidRDefault="003D2ECB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3FC">
        <w:rPr>
          <w:rFonts w:ascii="Times New Roman" w:hAnsi="Times New Roman" w:cs="Times New Roman"/>
          <w:sz w:val="24"/>
          <w:szCs w:val="24"/>
        </w:rPr>
        <w:t>6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1D63F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D2289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0C3B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C3B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C3B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C3B6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1C132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D27E13" w:rsidRDefault="00D27E13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24558D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74E72" w:rsidRPr="00774E72" w:rsidTr="0024558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74E72" w:rsidRPr="00774E72" w:rsidTr="0024558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774E72" w:rsidRPr="00774E72" w:rsidTr="00774E7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72" w:rsidRPr="00774E72" w:rsidRDefault="00774E72" w:rsidP="00774E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E7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774E72" w:rsidP="00A9310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3991970" cy="1733266"/>
            <wp:effectExtent l="0" t="0" r="8890" b="6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D2289" w:rsidRDefault="002962BA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Sub1</w:t>
      </w:r>
    </w:p>
    <w:p w:rsidR="0033095A" w:rsidRPr="00ED2289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A70BF" w:rsidRDefault="0024558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proofErr w:type="spellStart"/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BA70BF" w:rsidRPr="00D549BA" w:rsidRDefault="0024558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24558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4558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2289" w:rsidRDefault="00975CC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</w:p>
    <w:p w:rsidR="00656161" w:rsidRPr="00BA70BF" w:rsidRDefault="0024558D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proofErr w:type="spellStart"/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656161" w:rsidRPr="00D549BA" w:rsidRDefault="0024558D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56161" w:rsidRPr="00D549BA" w:rsidRDefault="0024558D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656161" w:rsidRPr="00D549BA" w:rsidRDefault="0024558D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2289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</w:p>
    <w:p w:rsidR="00282929" w:rsidRPr="00D549BA" w:rsidRDefault="0024558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282929" w:rsidRPr="00D549BA" w:rsidRDefault="0024558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282929" w:rsidRPr="00D549BA" w:rsidRDefault="0024558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24558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289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</w:p>
    <w:p w:rsidR="00B93EDD" w:rsidRPr="00D549BA" w:rsidRDefault="0024558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24558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24558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24558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D2289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B93EDD" w:rsidRPr="00D549BA" w:rsidRDefault="0024558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64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93EDD" w:rsidRPr="00D549BA" w:rsidRDefault="00EC214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58D">
        <w:rPr>
          <w:rFonts w:ascii="Times New Roman" w:hAnsi="Times New Roman" w:cs="Times New Roman"/>
          <w:sz w:val="24"/>
          <w:szCs w:val="24"/>
        </w:rPr>
        <w:t>1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B93EDD" w:rsidRPr="00D549BA" w:rsidRDefault="007C57AF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58D">
        <w:rPr>
          <w:rFonts w:ascii="Times New Roman" w:hAnsi="Times New Roman" w:cs="Times New Roman"/>
          <w:sz w:val="24"/>
          <w:szCs w:val="24"/>
        </w:rPr>
        <w:t>4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93EDD" w:rsidRPr="00D549BA" w:rsidRDefault="0024558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0112B6">
        <w:rPr>
          <w:rFonts w:ascii="Times New Roman" w:hAnsi="Times New Roman" w:cs="Times New Roman"/>
          <w:b/>
          <w:sz w:val="24"/>
          <w:szCs w:val="24"/>
        </w:rPr>
        <w:t>Semeste</w:t>
      </w:r>
      <w:r w:rsidR="00306E70">
        <w:rPr>
          <w:rFonts w:ascii="Times New Roman" w:hAnsi="Times New Roman" w:cs="Times New Roman"/>
          <w:b/>
          <w:sz w:val="24"/>
          <w:szCs w:val="24"/>
        </w:rPr>
        <w:t>r-</w:t>
      </w:r>
      <w:proofErr w:type="spellStart"/>
      <w:r w:rsidR="00306E70">
        <w:rPr>
          <w:rFonts w:ascii="Times New Roman" w:hAnsi="Times New Roman" w:cs="Times New Roman"/>
          <w:b/>
          <w:sz w:val="24"/>
          <w:szCs w:val="24"/>
        </w:rPr>
        <w:t>II</w:t>
      </w:r>
      <w:r w:rsidR="00306E70" w:rsidRPr="00306E7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47DE6" w:rsidRPr="00947DE6" w:rsidTr="00F56B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47DE6" w:rsidRPr="00947DE6" w:rsidTr="00F56B6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947DE6" w:rsidRPr="00947DE6" w:rsidTr="00947D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E6" w:rsidRPr="00947DE6" w:rsidRDefault="00947DE6" w:rsidP="00947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7D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947DE6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46310" cy="1767385"/>
            <wp:effectExtent l="0" t="0" r="6985" b="44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C044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33095A" w:rsidRPr="00236F1C" w:rsidRDefault="00F56B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274DF">
        <w:rPr>
          <w:rFonts w:ascii="Times New Roman" w:hAnsi="Times New Roman" w:cs="Times New Roman"/>
          <w:sz w:val="24"/>
          <w:szCs w:val="24"/>
        </w:rPr>
        <w:t>Sub</w:t>
      </w:r>
      <w:r w:rsidR="006D036E">
        <w:rPr>
          <w:rFonts w:ascii="Times New Roman" w:hAnsi="Times New Roman" w:cs="Times New Roman"/>
          <w:sz w:val="24"/>
          <w:szCs w:val="24"/>
        </w:rPr>
        <w:t>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F56B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56B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F56B6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7F11D2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7F11D2" w:rsidRPr="00236F1C" w:rsidRDefault="00F56B64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F11D2">
        <w:rPr>
          <w:rFonts w:ascii="Times New Roman" w:hAnsi="Times New Roman" w:cs="Times New Roman"/>
          <w:sz w:val="24"/>
          <w:szCs w:val="24"/>
        </w:rPr>
        <w:t>Sub</w:t>
      </w:r>
      <w:r w:rsidR="00110CCE">
        <w:rPr>
          <w:rFonts w:ascii="Times New Roman" w:hAnsi="Times New Roman" w:cs="Times New Roman"/>
          <w:sz w:val="24"/>
          <w:szCs w:val="24"/>
        </w:rPr>
        <w:t>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F11D2" w:rsidRPr="00236F1C" w:rsidRDefault="00F56B64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outstanding</w:t>
      </w:r>
    </w:p>
    <w:p w:rsidR="007F11D2" w:rsidRPr="00236F1C" w:rsidRDefault="00F56B64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395019">
        <w:rPr>
          <w:rFonts w:ascii="Times New Roman" w:hAnsi="Times New Roman" w:cs="Times New Roman"/>
          <w:sz w:val="24"/>
          <w:szCs w:val="24"/>
        </w:rPr>
        <w:t>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F11D2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good</w:t>
      </w:r>
    </w:p>
    <w:p w:rsidR="007F11D2" w:rsidRDefault="00F56B64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1D2">
        <w:rPr>
          <w:rFonts w:ascii="Times New Roman" w:hAnsi="Times New Roman" w:cs="Times New Roman"/>
          <w:sz w:val="24"/>
          <w:szCs w:val="24"/>
        </w:rPr>
        <w:t>average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4F02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F12557" w:rsidRPr="00236F1C" w:rsidRDefault="00F56B64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12557" w:rsidRPr="00236F1C" w:rsidRDefault="00F56B64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outstanding</w:t>
      </w:r>
    </w:p>
    <w:p w:rsidR="00F12557" w:rsidRPr="00236F1C" w:rsidRDefault="00F56B64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good</w:t>
      </w:r>
    </w:p>
    <w:p w:rsidR="00F12557" w:rsidRDefault="00F56B64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10CCE">
        <w:rPr>
          <w:rFonts w:ascii="Times New Roman" w:hAnsi="Times New Roman" w:cs="Times New Roman"/>
          <w:sz w:val="24"/>
          <w:szCs w:val="24"/>
        </w:rPr>
        <w:t>Sub3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F12557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9C354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9C3547" w:rsidRPr="00236F1C" w:rsidRDefault="00F56B6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9C3547">
        <w:rPr>
          <w:rFonts w:ascii="Times New Roman" w:hAnsi="Times New Roman" w:cs="Times New Roman"/>
          <w:sz w:val="24"/>
          <w:szCs w:val="24"/>
        </w:rPr>
        <w:t>Sub</w:t>
      </w:r>
      <w:r w:rsidR="006831EE">
        <w:rPr>
          <w:rFonts w:ascii="Times New Roman" w:hAnsi="Times New Roman" w:cs="Times New Roman"/>
          <w:sz w:val="24"/>
          <w:szCs w:val="24"/>
        </w:rPr>
        <w:t>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9C3547" w:rsidRPr="00236F1C" w:rsidRDefault="00F56B6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outstanding</w:t>
      </w:r>
    </w:p>
    <w:p w:rsidR="009C3547" w:rsidRPr="00236F1C" w:rsidRDefault="00F56B6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6831EE">
        <w:rPr>
          <w:rFonts w:ascii="Times New Roman" w:hAnsi="Times New Roman" w:cs="Times New Roman"/>
          <w:sz w:val="24"/>
          <w:szCs w:val="24"/>
        </w:rPr>
        <w:t>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54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good</w:t>
      </w:r>
    </w:p>
    <w:p w:rsidR="009C3547" w:rsidRDefault="00F56B64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831EE">
        <w:rPr>
          <w:rFonts w:ascii="Times New Roman" w:hAnsi="Times New Roman" w:cs="Times New Roman"/>
          <w:sz w:val="24"/>
          <w:szCs w:val="24"/>
        </w:rPr>
        <w:t>Sub4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C3547">
        <w:rPr>
          <w:rFonts w:ascii="Times New Roman" w:hAnsi="Times New Roman" w:cs="Times New Roman"/>
          <w:sz w:val="24"/>
          <w:szCs w:val="24"/>
        </w:rPr>
        <w:t>average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09FB" w:rsidRDefault="007909FB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F56B6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4A0F12" w:rsidRPr="00236F1C" w:rsidRDefault="00F56B6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outstanding</w:t>
      </w:r>
    </w:p>
    <w:p w:rsidR="004A0F12" w:rsidRPr="00236F1C" w:rsidRDefault="00F56B6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good</w:t>
      </w:r>
    </w:p>
    <w:p w:rsidR="004A0F12" w:rsidRDefault="00F56B64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A0F12">
        <w:rPr>
          <w:rFonts w:ascii="Times New Roman" w:hAnsi="Times New Roman" w:cs="Times New Roman"/>
          <w:sz w:val="24"/>
          <w:szCs w:val="24"/>
        </w:rPr>
        <w:t>average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7C3E42">
        <w:rPr>
          <w:rFonts w:ascii="Times New Roman" w:hAnsi="Times New Roman" w:cs="Times New Roman"/>
          <w:sz w:val="24"/>
          <w:szCs w:val="24"/>
        </w:rPr>
        <w:t xml:space="preserve"> 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C16EE" w:rsidRPr="00CC16EE" w:rsidTr="007C3E4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C16EE" w:rsidRPr="00CC16EE" w:rsidTr="007C3E4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C16EE" w:rsidRPr="00CC16EE" w:rsidTr="00CC16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EE" w:rsidRPr="00CC16EE" w:rsidRDefault="00CC16EE" w:rsidP="00CC1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6E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7C3E42" w:rsidRDefault="007C3E42" w:rsidP="0033095A">
      <w:pPr>
        <w:rPr>
          <w:rFonts w:ascii="Times New Roman" w:hAnsi="Times New Roman" w:cs="Times New Roman"/>
          <w:sz w:val="24"/>
          <w:szCs w:val="24"/>
        </w:rPr>
      </w:pPr>
      <w:r w:rsidRPr="007C3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4204" cy="2101756"/>
            <wp:effectExtent l="19050" t="0" r="22746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CC16EE" w:rsidRDefault="00CC16E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DAE" w:rsidRDefault="00CD5DAE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64A9" w:rsidRDefault="005D64A9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C3E42" w:rsidRPr="00147192" w:rsidTr="007C3E4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7C3E42" w:rsidRPr="00147192" w:rsidTr="007C3E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C3E42" w:rsidRPr="00147192" w:rsidTr="007C3E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C3E42" w:rsidRPr="00147192" w:rsidTr="007C3E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C3E42" w:rsidRPr="00147192" w:rsidTr="007C3E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C3E42" w:rsidRPr="00147192" w:rsidTr="007C3E4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42" w:rsidRPr="00147192" w:rsidRDefault="007C3E42" w:rsidP="00147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71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92A9B" w:rsidRDefault="00C92A9B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D538A" w:rsidRDefault="003D538A" w:rsidP="003D53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D538A" w:rsidRDefault="007C3E42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7C3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2980" cy="2197290"/>
            <wp:effectExtent l="19050" t="0" r="1052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133F" w:rsidRDefault="00CD133F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D944E9">
        <w:rPr>
          <w:rFonts w:ascii="Times New Roman" w:hAnsi="Times New Roman" w:cs="Times New Roman"/>
          <w:sz w:val="24"/>
          <w:szCs w:val="24"/>
        </w:rPr>
        <w:t>Fig.5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 w:rsidR="00147192" w:rsidRPr="008C298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</w:t>
      </w:r>
      <w:r w:rsidR="000A4F4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</w:p>
    <w:p w:rsidR="000A4F43" w:rsidRDefault="000A4F43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1366" w:rsidRDefault="00251366" w:rsidP="00CD133F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1BD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B6" w:rsidRDefault="00F60BB6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B6" w:rsidRPr="009361BD" w:rsidRDefault="00F60BB6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7C3E42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42">
        <w:rPr>
          <w:rFonts w:ascii="Times New Roman" w:hAnsi="Times New Roman" w:cs="Times New Roman"/>
          <w:b/>
          <w:sz w:val="24"/>
          <w:szCs w:val="24"/>
        </w:rPr>
        <w:t xml:space="preserve">Analysis of feedbacks of students </w:t>
      </w:r>
      <w:r w:rsidR="00D4111C" w:rsidRPr="007C3E42">
        <w:rPr>
          <w:rFonts w:ascii="Times New Roman" w:hAnsi="Times New Roman" w:cs="Times New Roman"/>
          <w:b/>
          <w:sz w:val="24"/>
          <w:szCs w:val="24"/>
        </w:rPr>
        <w:t>of about</w:t>
      </w:r>
      <w:r w:rsidRPr="007C3E42">
        <w:rPr>
          <w:rFonts w:ascii="Times New Roman" w:hAnsi="Times New Roman" w:cs="Times New Roman"/>
          <w:b/>
          <w:sz w:val="24"/>
          <w:szCs w:val="24"/>
        </w:rPr>
        <w:t xml:space="preserve"> criterion VI, VII, VIII, IX and X</w:t>
      </w:r>
    </w:p>
    <w:p w:rsidR="0033095A" w:rsidRPr="007C3E42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 w:rsidRPr="007C3E42">
        <w:rPr>
          <w:rFonts w:ascii="Times New Roman" w:hAnsi="Times New Roman" w:cs="Times New Roman"/>
          <w:sz w:val="24"/>
          <w:szCs w:val="24"/>
        </w:rPr>
        <w:t xml:space="preserve">In part VI, VII, VIII, IX and X the students have to give feedback as yes or no of single question  </w:t>
      </w:r>
    </w:p>
    <w:p w:rsidR="0033095A" w:rsidRPr="007C3E42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E42"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4111C" w:rsidRPr="007C3E42">
        <w:rPr>
          <w:rFonts w:ascii="Times New Roman" w:hAnsi="Times New Roman" w:cs="Times New Roman"/>
          <w:sz w:val="24"/>
          <w:szCs w:val="24"/>
        </w:rPr>
        <w:t>student’s</w:t>
      </w:r>
      <w:r w:rsidRPr="007C3E42"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7C3E42" w:rsidP="0033095A">
      <w:pPr>
        <w:rPr>
          <w:rFonts w:ascii="Times New Roman" w:hAnsi="Times New Roman" w:cs="Times New Roman"/>
          <w:sz w:val="24"/>
          <w:szCs w:val="24"/>
        </w:rPr>
      </w:pPr>
      <w:r w:rsidRPr="007C3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90466"/>
            <wp:effectExtent l="19050" t="0" r="22178" b="284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7C3E42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7C3E42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7C3E42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 xml:space="preserve">wish to </w:t>
      </w:r>
      <w:proofErr w:type="spellStart"/>
      <w:r w:rsidR="0033095A">
        <w:rPr>
          <w:rFonts w:ascii="Times New Roman" w:hAnsi="Times New Roman" w:cs="Times New Roman"/>
          <w:sz w:val="24"/>
          <w:szCs w:val="24"/>
        </w:rPr>
        <w:t>havemore</w:t>
      </w:r>
      <w:proofErr w:type="spellEnd"/>
      <w:r w:rsidR="0033095A">
        <w:rPr>
          <w:rFonts w:ascii="Times New Roman" w:hAnsi="Times New Roman" w:cs="Times New Roman"/>
          <w:sz w:val="24"/>
          <w:szCs w:val="24"/>
        </w:rPr>
        <w:t xml:space="preserve"> industrial/ field visits.</w:t>
      </w:r>
    </w:p>
    <w:p w:rsidR="0033095A" w:rsidRDefault="007C3E42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7C3E42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112B6"/>
    <w:rsid w:val="00016506"/>
    <w:rsid w:val="0005202A"/>
    <w:rsid w:val="00056AC0"/>
    <w:rsid w:val="00066B0A"/>
    <w:rsid w:val="00076D43"/>
    <w:rsid w:val="000A0FCB"/>
    <w:rsid w:val="000A4F43"/>
    <w:rsid w:val="000C3B61"/>
    <w:rsid w:val="000C6516"/>
    <w:rsid w:val="000D2029"/>
    <w:rsid w:val="000E05D4"/>
    <w:rsid w:val="000E4B90"/>
    <w:rsid w:val="000F3F64"/>
    <w:rsid w:val="00110CCE"/>
    <w:rsid w:val="001136AE"/>
    <w:rsid w:val="00121942"/>
    <w:rsid w:val="001319E4"/>
    <w:rsid w:val="0014512C"/>
    <w:rsid w:val="00147192"/>
    <w:rsid w:val="00176203"/>
    <w:rsid w:val="00183C4C"/>
    <w:rsid w:val="0019482F"/>
    <w:rsid w:val="00197A64"/>
    <w:rsid w:val="001A2DA3"/>
    <w:rsid w:val="001B70AC"/>
    <w:rsid w:val="001C132E"/>
    <w:rsid w:val="001C2BFD"/>
    <w:rsid w:val="001D578C"/>
    <w:rsid w:val="001D63FC"/>
    <w:rsid w:val="00203AC7"/>
    <w:rsid w:val="00216FCE"/>
    <w:rsid w:val="00230BB0"/>
    <w:rsid w:val="0024558D"/>
    <w:rsid w:val="00251366"/>
    <w:rsid w:val="00254934"/>
    <w:rsid w:val="00262D6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04344"/>
    <w:rsid w:val="00306E70"/>
    <w:rsid w:val="003116F0"/>
    <w:rsid w:val="00317B1A"/>
    <w:rsid w:val="003228F0"/>
    <w:rsid w:val="0033095A"/>
    <w:rsid w:val="0033593E"/>
    <w:rsid w:val="0035233A"/>
    <w:rsid w:val="00371C10"/>
    <w:rsid w:val="00380600"/>
    <w:rsid w:val="00395019"/>
    <w:rsid w:val="00396CF2"/>
    <w:rsid w:val="003B5855"/>
    <w:rsid w:val="003C34AC"/>
    <w:rsid w:val="003D2ECB"/>
    <w:rsid w:val="003D538A"/>
    <w:rsid w:val="003E23BF"/>
    <w:rsid w:val="004128D2"/>
    <w:rsid w:val="00413812"/>
    <w:rsid w:val="004146AC"/>
    <w:rsid w:val="0041640C"/>
    <w:rsid w:val="004219E2"/>
    <w:rsid w:val="00447BF3"/>
    <w:rsid w:val="004556AB"/>
    <w:rsid w:val="00464FCE"/>
    <w:rsid w:val="00495E01"/>
    <w:rsid w:val="00496D52"/>
    <w:rsid w:val="004A0F12"/>
    <w:rsid w:val="004A2BC8"/>
    <w:rsid w:val="004A306F"/>
    <w:rsid w:val="004B5237"/>
    <w:rsid w:val="004F020B"/>
    <w:rsid w:val="00505DC8"/>
    <w:rsid w:val="005062A4"/>
    <w:rsid w:val="0052507C"/>
    <w:rsid w:val="00542312"/>
    <w:rsid w:val="00581B19"/>
    <w:rsid w:val="005A1246"/>
    <w:rsid w:val="005A4137"/>
    <w:rsid w:val="005A79B8"/>
    <w:rsid w:val="005B41B7"/>
    <w:rsid w:val="005C360D"/>
    <w:rsid w:val="005C538C"/>
    <w:rsid w:val="005D1DB4"/>
    <w:rsid w:val="005D4CC0"/>
    <w:rsid w:val="005D64A9"/>
    <w:rsid w:val="005F4E2D"/>
    <w:rsid w:val="00626B2E"/>
    <w:rsid w:val="00633736"/>
    <w:rsid w:val="00656161"/>
    <w:rsid w:val="00657D79"/>
    <w:rsid w:val="00657FB8"/>
    <w:rsid w:val="00662EB2"/>
    <w:rsid w:val="00670E3D"/>
    <w:rsid w:val="006726F0"/>
    <w:rsid w:val="006763EB"/>
    <w:rsid w:val="00676762"/>
    <w:rsid w:val="006831EE"/>
    <w:rsid w:val="006869D5"/>
    <w:rsid w:val="0068787E"/>
    <w:rsid w:val="006D036E"/>
    <w:rsid w:val="007032BB"/>
    <w:rsid w:val="0071566C"/>
    <w:rsid w:val="007274DF"/>
    <w:rsid w:val="00743463"/>
    <w:rsid w:val="00774E72"/>
    <w:rsid w:val="0077651B"/>
    <w:rsid w:val="007879C1"/>
    <w:rsid w:val="007909FB"/>
    <w:rsid w:val="007A2961"/>
    <w:rsid w:val="007B05EA"/>
    <w:rsid w:val="007B06BC"/>
    <w:rsid w:val="007C2B5B"/>
    <w:rsid w:val="007C3E42"/>
    <w:rsid w:val="007C57AF"/>
    <w:rsid w:val="007C608D"/>
    <w:rsid w:val="007E2B49"/>
    <w:rsid w:val="007F11D2"/>
    <w:rsid w:val="0080001D"/>
    <w:rsid w:val="008141C0"/>
    <w:rsid w:val="00873F82"/>
    <w:rsid w:val="008B0A6A"/>
    <w:rsid w:val="008B22B6"/>
    <w:rsid w:val="008B2FE5"/>
    <w:rsid w:val="008C2989"/>
    <w:rsid w:val="008E1DF4"/>
    <w:rsid w:val="008F193C"/>
    <w:rsid w:val="008F51BA"/>
    <w:rsid w:val="00910C30"/>
    <w:rsid w:val="00913EDD"/>
    <w:rsid w:val="009361BD"/>
    <w:rsid w:val="00947DE6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636E7"/>
    <w:rsid w:val="00A70F00"/>
    <w:rsid w:val="00A7224B"/>
    <w:rsid w:val="00A82345"/>
    <w:rsid w:val="00A84F61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337A"/>
    <w:rsid w:val="00AD4483"/>
    <w:rsid w:val="00AE09EB"/>
    <w:rsid w:val="00AE539E"/>
    <w:rsid w:val="00B13025"/>
    <w:rsid w:val="00B400B6"/>
    <w:rsid w:val="00B42408"/>
    <w:rsid w:val="00B43394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C032A1"/>
    <w:rsid w:val="00C04417"/>
    <w:rsid w:val="00C04974"/>
    <w:rsid w:val="00C04FFC"/>
    <w:rsid w:val="00C05F9B"/>
    <w:rsid w:val="00C10B00"/>
    <w:rsid w:val="00C12CBA"/>
    <w:rsid w:val="00C35B5A"/>
    <w:rsid w:val="00C62D87"/>
    <w:rsid w:val="00C92A9B"/>
    <w:rsid w:val="00CA2440"/>
    <w:rsid w:val="00CC16EE"/>
    <w:rsid w:val="00CD133F"/>
    <w:rsid w:val="00CD5DAE"/>
    <w:rsid w:val="00CE3D74"/>
    <w:rsid w:val="00CE64CA"/>
    <w:rsid w:val="00CF2AA4"/>
    <w:rsid w:val="00CF47F4"/>
    <w:rsid w:val="00CF4EA1"/>
    <w:rsid w:val="00CF6F1F"/>
    <w:rsid w:val="00D02742"/>
    <w:rsid w:val="00D10101"/>
    <w:rsid w:val="00D11BFD"/>
    <w:rsid w:val="00D15FA3"/>
    <w:rsid w:val="00D27E13"/>
    <w:rsid w:val="00D366AC"/>
    <w:rsid w:val="00D4111C"/>
    <w:rsid w:val="00D46887"/>
    <w:rsid w:val="00D52FB4"/>
    <w:rsid w:val="00D57171"/>
    <w:rsid w:val="00D57EC8"/>
    <w:rsid w:val="00D61FD2"/>
    <w:rsid w:val="00D702A7"/>
    <w:rsid w:val="00D72A3A"/>
    <w:rsid w:val="00D82A74"/>
    <w:rsid w:val="00D944E9"/>
    <w:rsid w:val="00DB59FB"/>
    <w:rsid w:val="00DF6076"/>
    <w:rsid w:val="00E14F6E"/>
    <w:rsid w:val="00E30BB4"/>
    <w:rsid w:val="00E34B79"/>
    <w:rsid w:val="00E40FDB"/>
    <w:rsid w:val="00E64D03"/>
    <w:rsid w:val="00E67BDD"/>
    <w:rsid w:val="00E70C58"/>
    <w:rsid w:val="00E94F28"/>
    <w:rsid w:val="00EA3330"/>
    <w:rsid w:val="00EC214B"/>
    <w:rsid w:val="00EC3B62"/>
    <w:rsid w:val="00ED2289"/>
    <w:rsid w:val="00EF16A5"/>
    <w:rsid w:val="00EF6553"/>
    <w:rsid w:val="00F0473F"/>
    <w:rsid w:val="00F06649"/>
    <w:rsid w:val="00F12557"/>
    <w:rsid w:val="00F17C7B"/>
    <w:rsid w:val="00F32F46"/>
    <w:rsid w:val="00F44D0A"/>
    <w:rsid w:val="00F45FE7"/>
    <w:rsid w:val="00F50D6C"/>
    <w:rsid w:val="00F51018"/>
    <w:rsid w:val="00F52C7F"/>
    <w:rsid w:val="00F56B64"/>
    <w:rsid w:val="00F60BB6"/>
    <w:rsid w:val="00F76D3F"/>
    <w:rsid w:val="00F77A7E"/>
    <w:rsid w:val="00F80D61"/>
    <w:rsid w:val="00FB5D33"/>
    <w:rsid w:val="00FD43F8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ENGLISH_STUDENT_ff_21-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MA_ENG_2ND.SEM!$A$83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MA_ENG_2ND.SEM!$B$82:$F$82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MA_ENG_2ND.SEM!$B$83:$F$83</c:f>
              <c:numCache>
                <c:formatCode>0</c:formatCode>
                <c:ptCount val="5"/>
                <c:pt idx="0">
                  <c:v>21.212121212121183</c:v>
                </c:pt>
                <c:pt idx="1">
                  <c:v>5.7142857142857109</c:v>
                </c:pt>
                <c:pt idx="2">
                  <c:v>9.0909090909090988</c:v>
                </c:pt>
                <c:pt idx="3">
                  <c:v>25.714285714285737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MA_ENG_2ND.SEM!$A$84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MA_ENG_2ND.SEM!$B$82:$F$82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MA_ENG_2ND.SEM!$B$84:$F$84</c:f>
              <c:numCache>
                <c:formatCode>0</c:formatCode>
                <c:ptCount val="5"/>
                <c:pt idx="0">
                  <c:v>21.212121212121183</c:v>
                </c:pt>
                <c:pt idx="1">
                  <c:v>40</c:v>
                </c:pt>
                <c:pt idx="2">
                  <c:v>21.212121212121183</c:v>
                </c:pt>
                <c:pt idx="3">
                  <c:v>11.428571428571416</c:v>
                </c:pt>
                <c:pt idx="4">
                  <c:v>16.666666666666664</c:v>
                </c:pt>
              </c:numCache>
            </c:numRef>
          </c:val>
        </c:ser>
        <c:ser>
          <c:idx val="2"/>
          <c:order val="2"/>
          <c:tx>
            <c:strRef>
              <c:f>MA_ENG_2ND.SEM!$A$85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MA_ENG_2ND.SEM!$B$82:$F$82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MA_ENG_2ND.SEM!$B$85:$F$85</c:f>
              <c:numCache>
                <c:formatCode>0</c:formatCode>
                <c:ptCount val="5"/>
                <c:pt idx="0">
                  <c:v>6.0606060606060606</c:v>
                </c:pt>
                <c:pt idx="1">
                  <c:v>2.8571428571428572</c:v>
                </c:pt>
                <c:pt idx="2">
                  <c:v>21.212121212121183</c:v>
                </c:pt>
                <c:pt idx="3">
                  <c:v>20</c:v>
                </c:pt>
                <c:pt idx="4">
                  <c:v>16.666666666666664</c:v>
                </c:pt>
              </c:numCache>
            </c:numRef>
          </c:val>
        </c:ser>
        <c:ser>
          <c:idx val="3"/>
          <c:order val="3"/>
          <c:tx>
            <c:strRef>
              <c:f>MA_ENG_2ND.SEM!$A$86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MA_ENG_2ND.SEM!$B$82:$F$82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MA_ENG_2ND.SEM!$B$86:$F$86</c:f>
              <c:numCache>
                <c:formatCode>0</c:formatCode>
                <c:ptCount val="5"/>
                <c:pt idx="0">
                  <c:v>51.515151515151516</c:v>
                </c:pt>
                <c:pt idx="1">
                  <c:v>51.428571428571459</c:v>
                </c:pt>
                <c:pt idx="2">
                  <c:v>48.484848484848428</c:v>
                </c:pt>
                <c:pt idx="3">
                  <c:v>42.857142857142819</c:v>
                </c:pt>
                <c:pt idx="4">
                  <c:v>66.666666666666657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191872"/>
        <c:axId val="230193408"/>
        <c:axId val="0"/>
      </c:bar3DChart>
      <c:catAx>
        <c:axId val="230191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0193408"/>
        <c:crosses val="autoZero"/>
        <c:auto val="1"/>
        <c:lblAlgn val="ctr"/>
        <c:lblOffset val="100"/>
        <c:noMultiLvlLbl val="0"/>
      </c:catAx>
      <c:valAx>
        <c:axId val="23019340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0191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MA_ENG_2ND.SEM!$H$83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MA_ENG_2ND.SEM!$I$82:$M$82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MA_ENG_2ND.SEM!$I$83:$M$83</c:f>
              <c:numCache>
                <c:formatCode>0</c:formatCode>
                <c:ptCount val="5"/>
                <c:pt idx="0">
                  <c:v>2.0408163265306132</c:v>
                </c:pt>
                <c:pt idx="1">
                  <c:v>1.7857142857142843</c:v>
                </c:pt>
                <c:pt idx="2">
                  <c:v>6.1224489795918355</c:v>
                </c:pt>
                <c:pt idx="3">
                  <c:v>16.326530612244888</c:v>
                </c:pt>
                <c:pt idx="4">
                  <c:v>11.111111111111098</c:v>
                </c:pt>
              </c:numCache>
            </c:numRef>
          </c:val>
        </c:ser>
        <c:ser>
          <c:idx val="1"/>
          <c:order val="1"/>
          <c:tx>
            <c:strRef>
              <c:f>MA_ENG_2ND.SEM!$H$84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MA_ENG_2ND.SEM!$I$82:$M$82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MA_ENG_2ND.SEM!$I$84:$M$84</c:f>
              <c:numCache>
                <c:formatCode>0</c:formatCode>
                <c:ptCount val="5"/>
                <c:pt idx="0">
                  <c:v>30.612244897959183</c:v>
                </c:pt>
                <c:pt idx="1">
                  <c:v>35.714285714285715</c:v>
                </c:pt>
                <c:pt idx="2">
                  <c:v>22.448979591836729</c:v>
                </c:pt>
                <c:pt idx="3">
                  <c:v>28.571428571428569</c:v>
                </c:pt>
                <c:pt idx="4">
                  <c:v>13.888888888888889</c:v>
                </c:pt>
              </c:numCache>
            </c:numRef>
          </c:val>
        </c:ser>
        <c:ser>
          <c:idx val="2"/>
          <c:order val="2"/>
          <c:tx>
            <c:strRef>
              <c:f>MA_ENG_2ND.SEM!$H$85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MA_ENG_2ND.SEM!$I$82:$M$82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MA_ENG_2ND.SEM!$I$85:$M$85</c:f>
              <c:numCache>
                <c:formatCode>0</c:formatCode>
                <c:ptCount val="5"/>
                <c:pt idx="0">
                  <c:v>14.285714285714286</c:v>
                </c:pt>
                <c:pt idx="1">
                  <c:v>5.3571428571428532</c:v>
                </c:pt>
                <c:pt idx="2">
                  <c:v>24.489795918367314</c:v>
                </c:pt>
                <c:pt idx="3">
                  <c:v>6.1224489795918355</c:v>
                </c:pt>
                <c:pt idx="4">
                  <c:v>11.111111111111098</c:v>
                </c:pt>
              </c:numCache>
            </c:numRef>
          </c:val>
        </c:ser>
        <c:ser>
          <c:idx val="3"/>
          <c:order val="3"/>
          <c:tx>
            <c:strRef>
              <c:f>MA_ENG_2ND.SEM!$H$86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MA_ENG_2ND.SEM!$I$82:$M$82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MA_ENG_2ND.SEM!$I$86:$M$86</c:f>
              <c:numCache>
                <c:formatCode>0</c:formatCode>
                <c:ptCount val="5"/>
                <c:pt idx="0">
                  <c:v>53.061224489795883</c:v>
                </c:pt>
                <c:pt idx="1">
                  <c:v>57.142857142857139</c:v>
                </c:pt>
                <c:pt idx="2">
                  <c:v>46.938775510204081</c:v>
                </c:pt>
                <c:pt idx="3">
                  <c:v>48.979591836734691</c:v>
                </c:pt>
                <c:pt idx="4">
                  <c:v>63.888888888888886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377280"/>
        <c:axId val="245395456"/>
        <c:axId val="0"/>
      </c:bar3DChart>
      <c:catAx>
        <c:axId val="245377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5395456"/>
        <c:crosses val="autoZero"/>
        <c:auto val="1"/>
        <c:lblAlgn val="ctr"/>
        <c:lblOffset val="100"/>
        <c:noMultiLvlLbl val="0"/>
      </c:catAx>
      <c:valAx>
        <c:axId val="2453954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5377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MA_ENG_2ND.SEM!$O$83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MA_ENG_2ND.SEM!$P$82:$T$82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MA_ENG_2ND.SEM!$P$83:$T$83</c:f>
              <c:numCache>
                <c:formatCode>0</c:formatCode>
                <c:ptCount val="5"/>
                <c:pt idx="0">
                  <c:v>5.5555555555555483</c:v>
                </c:pt>
                <c:pt idx="1">
                  <c:v>0</c:v>
                </c:pt>
                <c:pt idx="2">
                  <c:v>0</c:v>
                </c:pt>
                <c:pt idx="3">
                  <c:v>18.75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MA_ENG_2ND.SEM!$O$84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MA_ENG_2ND.SEM!$P$82:$T$82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MA_ENG_2ND.SEM!$P$84:$T$84</c:f>
              <c:numCache>
                <c:formatCode>0</c:formatCode>
                <c:ptCount val="5"/>
                <c:pt idx="0">
                  <c:v>27.777777777777779</c:v>
                </c:pt>
                <c:pt idx="1">
                  <c:v>38.888888888888893</c:v>
                </c:pt>
                <c:pt idx="2">
                  <c:v>27.777777777777779</c:v>
                </c:pt>
                <c:pt idx="3">
                  <c:v>31.25</c:v>
                </c:pt>
                <c:pt idx="4">
                  <c:v>16.666666666666664</c:v>
                </c:pt>
              </c:numCache>
            </c:numRef>
          </c:val>
        </c:ser>
        <c:ser>
          <c:idx val="2"/>
          <c:order val="2"/>
          <c:tx>
            <c:strRef>
              <c:f>MA_ENG_2ND.SEM!$O$85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MA_ENG_2ND.SEM!$P$82:$T$82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MA_ENG_2ND.SEM!$P$85:$T$85</c:f>
              <c:numCache>
                <c:formatCode>0</c:formatCode>
                <c:ptCount val="5"/>
                <c:pt idx="0">
                  <c:v>16.666666666666664</c:v>
                </c:pt>
                <c:pt idx="1">
                  <c:v>11.111111111111098</c:v>
                </c:pt>
                <c:pt idx="2">
                  <c:v>11.111111111111098</c:v>
                </c:pt>
                <c:pt idx="3">
                  <c:v>6.25</c:v>
                </c:pt>
                <c:pt idx="4">
                  <c:v>8.3333333333333321</c:v>
                </c:pt>
              </c:numCache>
            </c:numRef>
          </c:val>
        </c:ser>
        <c:ser>
          <c:idx val="3"/>
          <c:order val="3"/>
          <c:tx>
            <c:strRef>
              <c:f>MA_ENG_2ND.SEM!$O$86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MA_ENG_2ND.SEM!$P$82:$T$82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MA_ENG_2ND.SEM!$P$86:$T$86</c:f>
              <c:numCache>
                <c:formatCode>0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61.111111111111114</c:v>
                </c:pt>
                <c:pt idx="3">
                  <c:v>43.75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424512"/>
        <c:axId val="245426048"/>
        <c:axId val="0"/>
      </c:bar3DChart>
      <c:catAx>
        <c:axId val="24542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5426048"/>
        <c:crosses val="autoZero"/>
        <c:auto val="1"/>
        <c:lblAlgn val="ctr"/>
        <c:lblOffset val="100"/>
        <c:noMultiLvlLbl val="0"/>
      </c:catAx>
      <c:valAx>
        <c:axId val="24542604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45424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</c:v>
                </c:pt>
                <c:pt idx="1">
                  <c:v>56</c:v>
                </c:pt>
                <c:pt idx="2">
                  <c:v>41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38</c:v>
                </c:pt>
                <c:pt idx="1">
                  <c:v>38</c:v>
                </c:pt>
                <c:pt idx="2">
                  <c:v>41</c:v>
                </c:pt>
                <c:pt idx="3">
                  <c:v>38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593984"/>
        <c:axId val="245595520"/>
        <c:axId val="0"/>
      </c:bar3DChart>
      <c:catAx>
        <c:axId val="24559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45595520"/>
        <c:crosses val="autoZero"/>
        <c:auto val="1"/>
        <c:lblAlgn val="ctr"/>
        <c:lblOffset val="100"/>
        <c:noMultiLvlLbl val="0"/>
      </c:catAx>
      <c:valAx>
        <c:axId val="245595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559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Freq</c:v>
                </c:pt>
              </c:strCache>
            </c:strRef>
          </c:tx>
          <c:invertIfNegative val="0"/>
          <c:cat>
            <c:strRef>
              <c:f>Sheet1!$A$17:$A$20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Sheet1!$B$17:$B$20</c:f>
              <c:numCache>
                <c:formatCode>0</c:formatCode>
                <c:ptCount val="4"/>
                <c:pt idx="0">
                  <c:v>0</c:v>
                </c:pt>
                <c:pt idx="1">
                  <c:v>33.333333333333329</c:v>
                </c:pt>
                <c:pt idx="2">
                  <c:v>33.333333333333329</c:v>
                </c:pt>
                <c:pt idx="3">
                  <c:v>33.333333333333329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764480"/>
        <c:axId val="245766016"/>
        <c:axId val="0"/>
      </c:bar3DChart>
      <c:catAx>
        <c:axId val="24576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5766016"/>
        <c:crosses val="autoZero"/>
        <c:auto val="1"/>
        <c:lblAlgn val="ctr"/>
        <c:lblOffset val="100"/>
        <c:noMultiLvlLbl val="0"/>
      </c:catAx>
      <c:valAx>
        <c:axId val="2457660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4576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Sheet1!$F$23:$F$24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cat>
            <c:strRef>
              <c:f>Sheet1!$E$25:$E$29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Sheet1!$F$25:$F$29</c:f>
              <c:numCache>
                <c:formatCode>General</c:formatCode>
                <c:ptCount val="5"/>
                <c:pt idx="0">
                  <c:v>48</c:v>
                </c:pt>
                <c:pt idx="1">
                  <c:v>80</c:v>
                </c:pt>
                <c:pt idx="2">
                  <c:v>78</c:v>
                </c:pt>
                <c:pt idx="3">
                  <c:v>68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Sheet1!$G$23:$G$24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cat>
            <c:strRef>
              <c:f>Sheet1!$E$25:$E$29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Sheet1!$G$25:$G$29</c:f>
              <c:numCache>
                <c:formatCode>General</c:formatCode>
                <c:ptCount val="5"/>
                <c:pt idx="0">
                  <c:v>52</c:v>
                </c:pt>
                <c:pt idx="1">
                  <c:v>20</c:v>
                </c:pt>
                <c:pt idx="2">
                  <c:v>22</c:v>
                </c:pt>
                <c:pt idx="3">
                  <c:v>32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796864"/>
        <c:axId val="245798400"/>
        <c:axId val="0"/>
      </c:bar3DChart>
      <c:catAx>
        <c:axId val="24579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5798400"/>
        <c:crosses val="autoZero"/>
        <c:auto val="1"/>
        <c:lblAlgn val="ctr"/>
        <c:lblOffset val="100"/>
        <c:noMultiLvlLbl val="0"/>
      </c:catAx>
      <c:valAx>
        <c:axId val="245798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579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4621-E35E-414F-B41D-423B524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2018-06-06T16:54:00Z</dcterms:created>
  <dcterms:modified xsi:type="dcterms:W3CDTF">2018-10-16T10:58:00Z</dcterms:modified>
</cp:coreProperties>
</file>