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701CFB">
        <w:rPr>
          <w:rFonts w:ascii="Times New Roman" w:hAnsi="Times New Roman" w:cs="Times New Roman"/>
          <w:b/>
          <w:sz w:val="24"/>
          <w:szCs w:val="24"/>
        </w:rPr>
        <w:t>Semester- Ph.</w:t>
      </w:r>
      <w:r w:rsidR="00062780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262D64">
        <w:rPr>
          <w:rFonts w:ascii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>, 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D15FA3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42033" w:rsidRPr="00542033" w:rsidTr="00701CF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542033" w:rsidRPr="00542033" w:rsidTr="005420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42033" w:rsidRPr="00542033" w:rsidTr="005420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542033" w:rsidRPr="00542033" w:rsidTr="005420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542033" w:rsidRPr="00542033" w:rsidTr="005420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42033" w:rsidRPr="00542033" w:rsidTr="005420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</w:tbl>
    <w:p w:rsidR="008473CC" w:rsidRDefault="008473CC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71EC2" w:rsidRDefault="00971EC2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42033" w:rsidRPr="00542033" w:rsidTr="00701CF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542033" w:rsidRPr="00542033" w:rsidTr="005420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542033" w:rsidRPr="00542033" w:rsidTr="005420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542033" w:rsidRPr="00542033" w:rsidTr="005420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542033" w:rsidRPr="00542033" w:rsidTr="005420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542033" w:rsidRPr="00542033" w:rsidTr="005420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33" w:rsidRPr="00542033" w:rsidRDefault="00542033" w:rsidP="00542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203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F45FE7" w:rsidRDefault="00F45FE7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F45FE7" w:rsidRDefault="00F45FE7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10C30" w:rsidRDefault="00910C30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447BF3" w:rsidRDefault="00447BF3" w:rsidP="00971EC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EC2" w:rsidRDefault="00542033" w:rsidP="005C360D">
      <w:pPr>
        <w:tabs>
          <w:tab w:val="left" w:pos="944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807726" cy="1937982"/>
            <wp:effectExtent l="0" t="0" r="2540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SUB1</w:t>
      </w:r>
    </w:p>
    <w:p w:rsidR="00F44D0A" w:rsidRDefault="00542033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F44D0A" w:rsidRPr="00B42408" w:rsidRDefault="00542033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F44D0A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F44D0A" w:rsidRPr="00236F1C" w:rsidRDefault="00542033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F44D0A">
        <w:rPr>
          <w:rFonts w:ascii="Times New Roman" w:hAnsi="Times New Roman" w:cs="Times New Roman"/>
          <w:sz w:val="24"/>
          <w:szCs w:val="24"/>
        </w:rPr>
        <w:t>SUB1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A3330" w:rsidRPr="00236F1C" w:rsidRDefault="00542033" w:rsidP="00EA333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A3330">
        <w:rPr>
          <w:rFonts w:ascii="Times New Roman" w:hAnsi="Times New Roman" w:cs="Times New Roman"/>
          <w:sz w:val="24"/>
          <w:szCs w:val="24"/>
        </w:rPr>
        <w:t>SUB1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F44D0A" w:rsidRDefault="00F44D0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4D0A" w:rsidRDefault="00F44D0A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DB59FB">
        <w:rPr>
          <w:b/>
          <w:noProof/>
          <w:sz w:val="24"/>
          <w:szCs w:val="24"/>
          <w:lang w:val="en-IN" w:eastAsia="en-IN"/>
        </w:rPr>
        <w:t>SUB2</w:t>
      </w:r>
    </w:p>
    <w:p w:rsidR="00EF6553" w:rsidRDefault="00542033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542033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E94F28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542033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94F28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E64CA">
        <w:rPr>
          <w:rFonts w:ascii="Times New Roman" w:hAnsi="Times New Roman" w:cs="Times New Roman"/>
          <w:sz w:val="24"/>
          <w:szCs w:val="24"/>
        </w:rPr>
        <w:t>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F6553" w:rsidRPr="00236F1C" w:rsidRDefault="00542033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4F28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F6553">
        <w:rPr>
          <w:rFonts w:ascii="Times New Roman" w:hAnsi="Times New Roman" w:cs="Times New Roman"/>
          <w:sz w:val="24"/>
          <w:szCs w:val="24"/>
        </w:rPr>
        <w:t>SUB</w:t>
      </w:r>
      <w:r w:rsidR="00CE64CA">
        <w:rPr>
          <w:rFonts w:ascii="Times New Roman" w:hAnsi="Times New Roman" w:cs="Times New Roman"/>
          <w:sz w:val="24"/>
          <w:szCs w:val="24"/>
        </w:rPr>
        <w:t>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SUB3</w:t>
      </w:r>
    </w:p>
    <w:p w:rsidR="00AB0E1A" w:rsidRDefault="00D22F92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SUB3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D22F92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05F9B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D22F92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D22F92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SUB4</w:t>
      </w:r>
    </w:p>
    <w:p w:rsidR="00AB0E1A" w:rsidRDefault="00D22F92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70C58">
        <w:rPr>
          <w:rFonts w:ascii="Times New Roman" w:hAnsi="Times New Roman" w:cs="Times New Roman"/>
          <w:sz w:val="24"/>
          <w:szCs w:val="24"/>
        </w:rPr>
        <w:t xml:space="preserve">% 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D22F92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E70C58">
        <w:rPr>
          <w:rFonts w:ascii="Times New Roman" w:hAnsi="Times New Roman" w:cs="Times New Roman"/>
          <w:sz w:val="24"/>
          <w:szCs w:val="24"/>
        </w:rPr>
        <w:t>%</w:t>
      </w:r>
      <w:r w:rsidR="00230BB0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D22F92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D22F92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lastRenderedPageBreak/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SUB5</w:t>
      </w:r>
    </w:p>
    <w:p w:rsidR="0033095A" w:rsidRPr="00236F1C" w:rsidRDefault="00D22F9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41680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52C47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D22F9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E3D74">
        <w:rPr>
          <w:rFonts w:ascii="Times New Roman" w:hAnsi="Times New Roman" w:cs="Times New Roman"/>
          <w:sz w:val="24"/>
          <w:szCs w:val="24"/>
        </w:rPr>
        <w:t xml:space="preserve">% </w:t>
      </w:r>
      <w:r w:rsidR="00076D43"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52C47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D22F9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C132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52C47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D22F9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C132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52C47">
        <w:rPr>
          <w:rFonts w:ascii="Times New Roman" w:hAnsi="Times New Roman" w:cs="Times New Roman"/>
          <w:sz w:val="24"/>
          <w:szCs w:val="24"/>
        </w:rPr>
        <w:t>Outstanding</w:t>
      </w:r>
    </w:p>
    <w:p w:rsidR="00D27E13" w:rsidRDefault="00D27E13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410ED" w:rsidRPr="005410ED" w:rsidTr="00701CF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5410ED" w:rsidRPr="005410ED" w:rsidTr="005410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5410ED" w:rsidRPr="005410ED" w:rsidTr="005410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5410ED" w:rsidRPr="005410ED" w:rsidTr="005410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410ED" w:rsidRPr="005410ED" w:rsidTr="005410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410ED" w:rsidRPr="005410ED" w:rsidTr="005410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</w:tr>
    </w:tbl>
    <w:p w:rsidR="00D72A3A" w:rsidRDefault="00D72A3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5C360D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410ED" w:rsidRPr="005410ED" w:rsidTr="00701CF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5410ED" w:rsidRPr="005410ED" w:rsidTr="005410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5410ED" w:rsidRPr="005410ED" w:rsidTr="005410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5410ED" w:rsidRPr="005410ED" w:rsidTr="005410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5410ED" w:rsidRPr="005410ED" w:rsidTr="005410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5410ED" w:rsidRPr="005410ED" w:rsidTr="005410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D" w:rsidRPr="005410ED" w:rsidRDefault="005410ED" w:rsidP="00541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10E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5C360D" w:rsidRDefault="005C360D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5410ED" w:rsidP="00A9310E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3732662" cy="1965278"/>
            <wp:effectExtent l="0" t="0" r="127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56AB" w:rsidRDefault="004556A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556AB" w:rsidRDefault="00AB0B42" w:rsidP="007B06BC">
      <w:pPr>
        <w:tabs>
          <w:tab w:val="left" w:pos="944"/>
        </w:tabs>
        <w:spacing w:after="0" w:line="36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B4F98" w:rsidRDefault="002962BA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Sub1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701CF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6D3F27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A70BF" w:rsidRPr="00D549BA" w:rsidRDefault="00701CF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6D3F27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095A" w:rsidRPr="00D549BA" w:rsidRDefault="00701CF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D3F27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701CF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D3F27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4F98" w:rsidRDefault="00975CC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Sub2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6161" w:rsidRPr="00BA70BF" w:rsidRDefault="00701CFB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656161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6D3F27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656161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656161" w:rsidRPr="00D549BA" w:rsidRDefault="00701CFB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56161">
        <w:rPr>
          <w:rFonts w:ascii="Times New Roman" w:hAnsi="Times New Roman" w:cs="Times New Roman"/>
          <w:sz w:val="24"/>
          <w:szCs w:val="24"/>
        </w:rPr>
        <w:t xml:space="preserve">% </w:t>
      </w:r>
      <w:r w:rsidR="00656161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656161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6D3F27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656161">
        <w:rPr>
          <w:rFonts w:ascii="Times New Roman" w:hAnsi="Times New Roman" w:cs="Times New Roman"/>
          <w:sz w:val="24"/>
          <w:szCs w:val="24"/>
        </w:rPr>
        <w:t>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56161" w:rsidRPr="00D549BA" w:rsidRDefault="00701CFB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D3F27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656161">
        <w:rPr>
          <w:rFonts w:ascii="Times New Roman" w:hAnsi="Times New Roman" w:cs="Times New Roman"/>
          <w:sz w:val="24"/>
          <w:szCs w:val="24"/>
        </w:rPr>
        <w:t>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656161" w:rsidRPr="00D549BA" w:rsidRDefault="00701CFB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D3F27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656161">
        <w:rPr>
          <w:rFonts w:ascii="Times New Roman" w:hAnsi="Times New Roman" w:cs="Times New Roman"/>
          <w:sz w:val="24"/>
          <w:szCs w:val="24"/>
        </w:rPr>
        <w:t>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B4F98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Sub3</w:t>
      </w:r>
    </w:p>
    <w:p w:rsidR="00282929" w:rsidRPr="00D549BA" w:rsidRDefault="00701CFB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282929" w:rsidRPr="00D549BA" w:rsidRDefault="00701CFB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outstanding</w:t>
      </w:r>
    </w:p>
    <w:p w:rsidR="00282929" w:rsidRPr="00D549BA" w:rsidRDefault="00701CFB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82929" w:rsidRPr="00D549BA" w:rsidRDefault="00701CFB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F98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Sub4</w:t>
      </w:r>
    </w:p>
    <w:p w:rsidR="00B93EDD" w:rsidRPr="00D549BA" w:rsidRDefault="00701CFB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93EDD" w:rsidRPr="00D549BA" w:rsidRDefault="00701CFB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B93EDD" w:rsidRPr="00D549BA" w:rsidRDefault="00701CFB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93EDD" w:rsidRPr="00D549BA" w:rsidRDefault="00701CFB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BB4F98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B93EDD" w:rsidRPr="00D549BA" w:rsidRDefault="00701CFB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35</w:t>
      </w:r>
      <w:r w:rsidR="00A97467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93EDD" w:rsidRPr="00D549BA" w:rsidRDefault="00701CFB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97467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B93EDD" w:rsidRPr="00D549BA" w:rsidRDefault="00701CFB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93EDD" w:rsidRPr="00D549BA" w:rsidRDefault="00701CFB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proofErr w:type="spellStart"/>
      <w:r w:rsidR="00B2707D">
        <w:rPr>
          <w:rFonts w:ascii="Times New Roman" w:hAnsi="Times New Roman" w:cs="Times New Roman"/>
          <w:b/>
          <w:sz w:val="24"/>
          <w:szCs w:val="24"/>
        </w:rPr>
        <w:t>P.hD</w:t>
      </w:r>
      <w:proofErr w:type="spellEnd"/>
      <w:r w:rsidR="00B2707D">
        <w:rPr>
          <w:rFonts w:ascii="Times New Roman" w:hAnsi="Times New Roman" w:cs="Times New Roman"/>
          <w:b/>
          <w:sz w:val="24"/>
          <w:szCs w:val="24"/>
        </w:rPr>
        <w:t>. English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6847EE" w:rsidRPr="006847EE" w:rsidTr="00701CF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6847EE" w:rsidRPr="006847EE" w:rsidTr="006847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7EE" w:rsidRPr="006847EE" w:rsidTr="006847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847EE" w:rsidRPr="006847EE" w:rsidTr="006847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847EE" w:rsidRPr="006847EE" w:rsidTr="006847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847EE" w:rsidRPr="006847EE" w:rsidTr="006847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</w:tbl>
    <w:p w:rsidR="008B0A6A" w:rsidRDefault="008B0A6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6847EE" w:rsidRPr="006847EE" w:rsidTr="00701CF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6847EE" w:rsidRPr="006847EE" w:rsidTr="006847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7EE" w:rsidRPr="006847EE" w:rsidTr="006847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6847EE" w:rsidRPr="006847EE" w:rsidTr="006847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6847EE" w:rsidRPr="006847EE" w:rsidTr="006847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6847EE" w:rsidRPr="006847EE" w:rsidTr="006847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EE" w:rsidRPr="006847EE" w:rsidRDefault="006847EE" w:rsidP="00684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47E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BA1F58" w:rsidRDefault="00BA1F58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577B14" w:rsidP="00BA1F58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25838" cy="1828800"/>
            <wp:effectExtent l="0" t="0" r="825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0447" w:rsidRDefault="00AB0B42" w:rsidP="00AC0447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AC044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33095A" w:rsidRPr="00236F1C" w:rsidRDefault="00701CF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274DF">
        <w:rPr>
          <w:rFonts w:ascii="Times New Roman" w:hAnsi="Times New Roman" w:cs="Times New Roman"/>
          <w:sz w:val="24"/>
          <w:szCs w:val="24"/>
        </w:rPr>
        <w:t>Project/seminar/assignments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274DF">
        <w:rPr>
          <w:rFonts w:ascii="Times New Roman" w:hAnsi="Times New Roman" w:cs="Times New Roman"/>
          <w:sz w:val="24"/>
          <w:szCs w:val="24"/>
        </w:rPr>
        <w:t>Sub</w:t>
      </w:r>
      <w:r w:rsidR="006D036E"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701CF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701CF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701CF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11D2" w:rsidRPr="007F11D2" w:rsidRDefault="007F11D2" w:rsidP="007F11D2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7F11D2" w:rsidRPr="00236F1C" w:rsidRDefault="00701CFB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95831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</w:t>
      </w:r>
      <w:r w:rsidR="00110CCE">
        <w:rPr>
          <w:rFonts w:ascii="Times New Roman" w:hAnsi="Times New Roman" w:cs="Times New Roman"/>
          <w:sz w:val="24"/>
          <w:szCs w:val="24"/>
        </w:rPr>
        <w:t>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F11D2" w:rsidRPr="00236F1C" w:rsidRDefault="00701CFB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outstanding</w:t>
      </w:r>
    </w:p>
    <w:p w:rsidR="007F11D2" w:rsidRPr="00236F1C" w:rsidRDefault="00701CFB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39501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5019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good</w:t>
      </w:r>
    </w:p>
    <w:p w:rsidR="007F11D2" w:rsidRDefault="00701CFB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average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4F02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12557" w:rsidRPr="00236F1C" w:rsidRDefault="0029376E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F4215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F12557" w:rsidRPr="00236F1C" w:rsidRDefault="00701CFB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outstanding</w:t>
      </w:r>
    </w:p>
    <w:p w:rsidR="00F12557" w:rsidRPr="00236F1C" w:rsidRDefault="00701CFB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110CCE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good</w:t>
      </w:r>
    </w:p>
    <w:p w:rsidR="00F12557" w:rsidRDefault="0029376E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C354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9C3547" w:rsidRPr="00236F1C" w:rsidRDefault="00701CFB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C3547">
        <w:rPr>
          <w:rFonts w:ascii="Times New Roman" w:hAnsi="Times New Roman" w:cs="Times New Roman"/>
          <w:sz w:val="24"/>
          <w:szCs w:val="24"/>
        </w:rPr>
        <w:t>Sub</w:t>
      </w:r>
      <w:r w:rsidR="006831EE">
        <w:rPr>
          <w:rFonts w:ascii="Times New Roman" w:hAnsi="Times New Roman" w:cs="Times New Roman"/>
          <w:sz w:val="24"/>
          <w:szCs w:val="24"/>
        </w:rPr>
        <w:t>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C3547" w:rsidRPr="00236F1C" w:rsidRDefault="00701CFB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outstanding</w:t>
      </w:r>
    </w:p>
    <w:p w:rsidR="009C3547" w:rsidRPr="00236F1C" w:rsidRDefault="00701CFB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6831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831EE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good</w:t>
      </w:r>
    </w:p>
    <w:p w:rsidR="009C3547" w:rsidRDefault="00701CFB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3547">
        <w:rPr>
          <w:rFonts w:ascii="Times New Roman" w:hAnsi="Times New Roman" w:cs="Times New Roman"/>
          <w:sz w:val="24"/>
          <w:szCs w:val="24"/>
        </w:rPr>
        <w:t xml:space="preserve">% 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average</w:t>
      </w:r>
    </w:p>
    <w:p w:rsidR="00DD306E" w:rsidRDefault="00DD306E" w:rsidP="00DD306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46AC" w:rsidRDefault="004146AC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09FB" w:rsidRDefault="007909FB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0F12" w:rsidRPr="00B15C6F" w:rsidRDefault="004A0F12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A0F12" w:rsidRPr="00236F1C" w:rsidRDefault="00701CFB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81A4E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4A0F12" w:rsidRPr="00236F1C" w:rsidRDefault="00701CFB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146AC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outstanding</w:t>
      </w:r>
    </w:p>
    <w:p w:rsidR="004A0F12" w:rsidRPr="00236F1C" w:rsidRDefault="00701CFB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good</w:t>
      </w:r>
    </w:p>
    <w:p w:rsidR="004A0F12" w:rsidRDefault="00701CFB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A0F12">
        <w:rPr>
          <w:rFonts w:ascii="Times New Roman" w:hAnsi="Times New Roman" w:cs="Times New Roman"/>
          <w:sz w:val="24"/>
          <w:szCs w:val="24"/>
        </w:rPr>
        <w:t xml:space="preserve">% 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average</w:t>
      </w:r>
    </w:p>
    <w:p w:rsidR="00662EB2" w:rsidRPr="00662EB2" w:rsidRDefault="00662EB2" w:rsidP="00662EB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B2" w:rsidRPr="0068787E" w:rsidRDefault="00662EB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4: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960" w:type="dxa"/>
        <w:jc w:val="center"/>
        <w:tblInd w:w="93" w:type="dxa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960"/>
      </w:tblGrid>
      <w:tr w:rsidR="0049611A" w:rsidRPr="0049611A" w:rsidTr="0049611A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49611A" w:rsidRPr="0049611A" w:rsidTr="0049611A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9611A" w:rsidRPr="0049611A" w:rsidTr="0049611A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9611A" w:rsidRPr="0049611A" w:rsidTr="0049611A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9611A" w:rsidRPr="0049611A" w:rsidTr="0049611A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9611A" w:rsidRPr="0049611A" w:rsidTr="0049611A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</w:tbl>
    <w:p w:rsidR="00297861" w:rsidRDefault="00297861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8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960" w:type="dxa"/>
        <w:jc w:val="center"/>
        <w:tblInd w:w="93" w:type="dxa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960"/>
      </w:tblGrid>
      <w:tr w:rsidR="0049611A" w:rsidRPr="0049611A" w:rsidTr="0049611A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49611A" w:rsidRPr="0049611A" w:rsidTr="0049611A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9611A" w:rsidRPr="0049611A" w:rsidTr="0049611A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49611A" w:rsidRPr="0049611A" w:rsidTr="0049611A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49611A" w:rsidRPr="0049611A" w:rsidTr="0049611A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49611A" w:rsidRPr="0049611A" w:rsidTr="0049611A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1A" w:rsidRPr="0049611A" w:rsidRDefault="0049611A" w:rsidP="00496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11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662EB2" w:rsidRDefault="00662EB2" w:rsidP="0033095A">
      <w:pPr>
        <w:rPr>
          <w:rFonts w:ascii="Times New Roman" w:hAnsi="Times New Roman" w:cs="Times New Roman"/>
          <w:sz w:val="24"/>
          <w:szCs w:val="24"/>
        </w:rPr>
      </w:pPr>
    </w:p>
    <w:p w:rsidR="0049611A" w:rsidRDefault="0049611A" w:rsidP="00496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03260" cy="1644555"/>
            <wp:effectExtent l="0" t="0" r="254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28D2" w:rsidRDefault="004128D2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Overall</w:t>
      </w:r>
    </w:p>
    <w:p w:rsidR="00CC16EE" w:rsidRDefault="00CC16EE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611A" w:rsidRDefault="0049611A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9611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112B6"/>
    <w:rsid w:val="00036E43"/>
    <w:rsid w:val="0005202A"/>
    <w:rsid w:val="00056AC0"/>
    <w:rsid w:val="00062780"/>
    <w:rsid w:val="00066B0A"/>
    <w:rsid w:val="00076D43"/>
    <w:rsid w:val="00081A4E"/>
    <w:rsid w:val="000A0FCB"/>
    <w:rsid w:val="000A4F43"/>
    <w:rsid w:val="000C3B61"/>
    <w:rsid w:val="000C6516"/>
    <w:rsid w:val="000D04ED"/>
    <w:rsid w:val="000D2029"/>
    <w:rsid w:val="000E05D4"/>
    <w:rsid w:val="000E4B90"/>
    <w:rsid w:val="000F3F64"/>
    <w:rsid w:val="00110CCE"/>
    <w:rsid w:val="001136AE"/>
    <w:rsid w:val="00121942"/>
    <w:rsid w:val="001319E4"/>
    <w:rsid w:val="0014512C"/>
    <w:rsid w:val="00147192"/>
    <w:rsid w:val="00176203"/>
    <w:rsid w:val="00183C4C"/>
    <w:rsid w:val="0019482F"/>
    <w:rsid w:val="00197A64"/>
    <w:rsid w:val="001A2DA3"/>
    <w:rsid w:val="001B70AC"/>
    <w:rsid w:val="001C132E"/>
    <w:rsid w:val="001C2BFD"/>
    <w:rsid w:val="001D578C"/>
    <w:rsid w:val="001D63FC"/>
    <w:rsid w:val="001F3289"/>
    <w:rsid w:val="00203AC7"/>
    <w:rsid w:val="00230BB0"/>
    <w:rsid w:val="00251366"/>
    <w:rsid w:val="00254934"/>
    <w:rsid w:val="00262D64"/>
    <w:rsid w:val="00264F9D"/>
    <w:rsid w:val="00280AF1"/>
    <w:rsid w:val="00282929"/>
    <w:rsid w:val="00285D7A"/>
    <w:rsid w:val="00286B7C"/>
    <w:rsid w:val="0029376E"/>
    <w:rsid w:val="002962BA"/>
    <w:rsid w:val="00297861"/>
    <w:rsid w:val="002A6386"/>
    <w:rsid w:val="002B4C4D"/>
    <w:rsid w:val="002C4B92"/>
    <w:rsid w:val="002F6BDD"/>
    <w:rsid w:val="00302742"/>
    <w:rsid w:val="00304344"/>
    <w:rsid w:val="00306E70"/>
    <w:rsid w:val="003116F0"/>
    <w:rsid w:val="00317B1A"/>
    <w:rsid w:val="003228F0"/>
    <w:rsid w:val="0033095A"/>
    <w:rsid w:val="0033593E"/>
    <w:rsid w:val="0035233A"/>
    <w:rsid w:val="00371C10"/>
    <w:rsid w:val="00380600"/>
    <w:rsid w:val="00395019"/>
    <w:rsid w:val="00396CF2"/>
    <w:rsid w:val="003B5855"/>
    <w:rsid w:val="003C34AC"/>
    <w:rsid w:val="003D2ECB"/>
    <w:rsid w:val="003D538A"/>
    <w:rsid w:val="003E23BF"/>
    <w:rsid w:val="003F4215"/>
    <w:rsid w:val="00411A1C"/>
    <w:rsid w:val="004128D2"/>
    <w:rsid w:val="00413812"/>
    <w:rsid w:val="004146AC"/>
    <w:rsid w:val="0041640C"/>
    <w:rsid w:val="004219E2"/>
    <w:rsid w:val="00447BF3"/>
    <w:rsid w:val="004556AB"/>
    <w:rsid w:val="00464FCE"/>
    <w:rsid w:val="00495E01"/>
    <w:rsid w:val="0049611A"/>
    <w:rsid w:val="00496D52"/>
    <w:rsid w:val="004A0F12"/>
    <w:rsid w:val="004A2BC8"/>
    <w:rsid w:val="004A306F"/>
    <w:rsid w:val="004B5237"/>
    <w:rsid w:val="004B74BD"/>
    <w:rsid w:val="004F020B"/>
    <w:rsid w:val="00505DC8"/>
    <w:rsid w:val="005062A4"/>
    <w:rsid w:val="0052507C"/>
    <w:rsid w:val="005410ED"/>
    <w:rsid w:val="00542033"/>
    <w:rsid w:val="00542312"/>
    <w:rsid w:val="00577B14"/>
    <w:rsid w:val="00581B19"/>
    <w:rsid w:val="00595831"/>
    <w:rsid w:val="005A1246"/>
    <w:rsid w:val="005A4137"/>
    <w:rsid w:val="005A79B8"/>
    <w:rsid w:val="005B41B7"/>
    <w:rsid w:val="005C360D"/>
    <w:rsid w:val="005C538C"/>
    <w:rsid w:val="005D1DB4"/>
    <w:rsid w:val="005D4CC0"/>
    <w:rsid w:val="005D64A9"/>
    <w:rsid w:val="005E2592"/>
    <w:rsid w:val="005F4E2D"/>
    <w:rsid w:val="00626B2E"/>
    <w:rsid w:val="00633736"/>
    <w:rsid w:val="00656161"/>
    <w:rsid w:val="00657D79"/>
    <w:rsid w:val="00657FB8"/>
    <w:rsid w:val="00662EB2"/>
    <w:rsid w:val="00670E3D"/>
    <w:rsid w:val="006726F0"/>
    <w:rsid w:val="006763EB"/>
    <w:rsid w:val="00676762"/>
    <w:rsid w:val="006831EE"/>
    <w:rsid w:val="006847EE"/>
    <w:rsid w:val="006869D5"/>
    <w:rsid w:val="0068787E"/>
    <w:rsid w:val="00695836"/>
    <w:rsid w:val="006B6D9F"/>
    <w:rsid w:val="006D036E"/>
    <w:rsid w:val="006D3F27"/>
    <w:rsid w:val="00701CFB"/>
    <w:rsid w:val="007032BB"/>
    <w:rsid w:val="0071566C"/>
    <w:rsid w:val="007274DF"/>
    <w:rsid w:val="00743463"/>
    <w:rsid w:val="00774E72"/>
    <w:rsid w:val="0077651B"/>
    <w:rsid w:val="007879C1"/>
    <w:rsid w:val="007909FB"/>
    <w:rsid w:val="007A2961"/>
    <w:rsid w:val="007B05EA"/>
    <w:rsid w:val="007B06BC"/>
    <w:rsid w:val="007C0728"/>
    <w:rsid w:val="007C2B5B"/>
    <w:rsid w:val="007C57AF"/>
    <w:rsid w:val="007C608D"/>
    <w:rsid w:val="007D409D"/>
    <w:rsid w:val="007E2B49"/>
    <w:rsid w:val="007F11D2"/>
    <w:rsid w:val="0080001D"/>
    <w:rsid w:val="008141C0"/>
    <w:rsid w:val="008473CC"/>
    <w:rsid w:val="00873F82"/>
    <w:rsid w:val="008B0A6A"/>
    <w:rsid w:val="008B22B6"/>
    <w:rsid w:val="008B2FE5"/>
    <w:rsid w:val="008B716D"/>
    <w:rsid w:val="008C2989"/>
    <w:rsid w:val="008E1DF4"/>
    <w:rsid w:val="008F193C"/>
    <w:rsid w:val="008F51BA"/>
    <w:rsid w:val="00906BA7"/>
    <w:rsid w:val="00910C30"/>
    <w:rsid w:val="00913EDD"/>
    <w:rsid w:val="009361BD"/>
    <w:rsid w:val="00947DE6"/>
    <w:rsid w:val="00971EC2"/>
    <w:rsid w:val="00975CC1"/>
    <w:rsid w:val="009804CE"/>
    <w:rsid w:val="0099291A"/>
    <w:rsid w:val="009A3AAD"/>
    <w:rsid w:val="009C3547"/>
    <w:rsid w:val="009D09B4"/>
    <w:rsid w:val="009E1D6A"/>
    <w:rsid w:val="009F10F5"/>
    <w:rsid w:val="00A12BEA"/>
    <w:rsid w:val="00A636E7"/>
    <w:rsid w:val="00A70F00"/>
    <w:rsid w:val="00A7224B"/>
    <w:rsid w:val="00A82345"/>
    <w:rsid w:val="00A84F61"/>
    <w:rsid w:val="00A9310E"/>
    <w:rsid w:val="00A97467"/>
    <w:rsid w:val="00AA313A"/>
    <w:rsid w:val="00AA3250"/>
    <w:rsid w:val="00AA5B33"/>
    <w:rsid w:val="00AB0B42"/>
    <w:rsid w:val="00AB0E1A"/>
    <w:rsid w:val="00AC0447"/>
    <w:rsid w:val="00AD1094"/>
    <w:rsid w:val="00AD337A"/>
    <w:rsid w:val="00AD4483"/>
    <w:rsid w:val="00AE09EB"/>
    <w:rsid w:val="00AE539E"/>
    <w:rsid w:val="00AF5856"/>
    <w:rsid w:val="00B02440"/>
    <w:rsid w:val="00B13025"/>
    <w:rsid w:val="00B2707D"/>
    <w:rsid w:val="00B400B6"/>
    <w:rsid w:val="00B42408"/>
    <w:rsid w:val="00B43394"/>
    <w:rsid w:val="00B60306"/>
    <w:rsid w:val="00B62622"/>
    <w:rsid w:val="00B65F35"/>
    <w:rsid w:val="00B70ACD"/>
    <w:rsid w:val="00B7127D"/>
    <w:rsid w:val="00B8628D"/>
    <w:rsid w:val="00B93EDD"/>
    <w:rsid w:val="00BA1F58"/>
    <w:rsid w:val="00BA70BF"/>
    <w:rsid w:val="00BB2366"/>
    <w:rsid w:val="00BB3F3A"/>
    <w:rsid w:val="00BB4F98"/>
    <w:rsid w:val="00C032A1"/>
    <w:rsid w:val="00C04417"/>
    <w:rsid w:val="00C04974"/>
    <w:rsid w:val="00C04FFC"/>
    <w:rsid w:val="00C05F9B"/>
    <w:rsid w:val="00C10B00"/>
    <w:rsid w:val="00C12CBA"/>
    <w:rsid w:val="00C35B5A"/>
    <w:rsid w:val="00C41680"/>
    <w:rsid w:val="00C62D87"/>
    <w:rsid w:val="00C92A9B"/>
    <w:rsid w:val="00CA2440"/>
    <w:rsid w:val="00CC16EE"/>
    <w:rsid w:val="00CD133F"/>
    <w:rsid w:val="00CD5DAE"/>
    <w:rsid w:val="00CE3D74"/>
    <w:rsid w:val="00CE64CA"/>
    <w:rsid w:val="00CF2AA4"/>
    <w:rsid w:val="00CF47F4"/>
    <w:rsid w:val="00CF4EA1"/>
    <w:rsid w:val="00CF6F1F"/>
    <w:rsid w:val="00D02742"/>
    <w:rsid w:val="00D10101"/>
    <w:rsid w:val="00D11BFD"/>
    <w:rsid w:val="00D15FA3"/>
    <w:rsid w:val="00D22F92"/>
    <w:rsid w:val="00D27E13"/>
    <w:rsid w:val="00D366AC"/>
    <w:rsid w:val="00D4111C"/>
    <w:rsid w:val="00D43242"/>
    <w:rsid w:val="00D46887"/>
    <w:rsid w:val="00D52C47"/>
    <w:rsid w:val="00D52FB4"/>
    <w:rsid w:val="00D57171"/>
    <w:rsid w:val="00D57EC8"/>
    <w:rsid w:val="00D61FD2"/>
    <w:rsid w:val="00D702A7"/>
    <w:rsid w:val="00D72A3A"/>
    <w:rsid w:val="00D82A74"/>
    <w:rsid w:val="00D944E9"/>
    <w:rsid w:val="00DB59FB"/>
    <w:rsid w:val="00DD306E"/>
    <w:rsid w:val="00DF6076"/>
    <w:rsid w:val="00E14F6E"/>
    <w:rsid w:val="00E30BB4"/>
    <w:rsid w:val="00E330BE"/>
    <w:rsid w:val="00E34B79"/>
    <w:rsid w:val="00E40FDB"/>
    <w:rsid w:val="00E64D03"/>
    <w:rsid w:val="00E67BDD"/>
    <w:rsid w:val="00E70C58"/>
    <w:rsid w:val="00E94F28"/>
    <w:rsid w:val="00EA3330"/>
    <w:rsid w:val="00EC214B"/>
    <w:rsid w:val="00EC3B62"/>
    <w:rsid w:val="00EC5E92"/>
    <w:rsid w:val="00EF16A5"/>
    <w:rsid w:val="00EF6553"/>
    <w:rsid w:val="00F0473F"/>
    <w:rsid w:val="00F06649"/>
    <w:rsid w:val="00F12557"/>
    <w:rsid w:val="00F17C7B"/>
    <w:rsid w:val="00F32F46"/>
    <w:rsid w:val="00F44D0A"/>
    <w:rsid w:val="00F45FE7"/>
    <w:rsid w:val="00F50D6C"/>
    <w:rsid w:val="00F51018"/>
    <w:rsid w:val="00F52C7F"/>
    <w:rsid w:val="00F60BB6"/>
    <w:rsid w:val="00F76D3F"/>
    <w:rsid w:val="00F77A7E"/>
    <w:rsid w:val="00F80D61"/>
    <w:rsid w:val="00FB5D33"/>
    <w:rsid w:val="00FE6E16"/>
    <w:rsid w:val="00FE7893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ENGLISH_STUDENT_ff_21-5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ENGLISH_STUDENT_ff_21-5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ENGLISH_STUDENT_ff_21-5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ENGLISH_STUDENT_ff_21-5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P.HD.ENG.!$A$173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P.HD.ENG.!$B$172:$F$172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P.HD.ENG.!$B$173:$F$173</c:f>
              <c:numCache>
                <c:formatCode>0</c:formatCode>
                <c:ptCount val="5"/>
                <c:pt idx="0">
                  <c:v>15.909090909090915</c:v>
                </c:pt>
                <c:pt idx="1">
                  <c:v>13.636363636363635</c:v>
                </c:pt>
                <c:pt idx="2">
                  <c:v>19.540229885057457</c:v>
                </c:pt>
                <c:pt idx="3">
                  <c:v>16.091954022988535</c:v>
                </c:pt>
                <c:pt idx="4">
                  <c:v>12.658227848101266</c:v>
                </c:pt>
              </c:numCache>
            </c:numRef>
          </c:val>
        </c:ser>
        <c:ser>
          <c:idx val="1"/>
          <c:order val="1"/>
          <c:tx>
            <c:strRef>
              <c:f>P.HD.ENG.!$A$174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P.HD.ENG.!$B$172:$F$172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P.HD.ENG.!$B$174:$F$174</c:f>
              <c:numCache>
                <c:formatCode>0</c:formatCode>
                <c:ptCount val="5"/>
                <c:pt idx="0">
                  <c:v>44.318181818181849</c:v>
                </c:pt>
                <c:pt idx="1">
                  <c:v>46.590909090909115</c:v>
                </c:pt>
                <c:pt idx="2">
                  <c:v>41.379310344827623</c:v>
                </c:pt>
                <c:pt idx="3">
                  <c:v>43.678160919540232</c:v>
                </c:pt>
                <c:pt idx="4">
                  <c:v>36.708860759493625</c:v>
                </c:pt>
              </c:numCache>
            </c:numRef>
          </c:val>
        </c:ser>
        <c:ser>
          <c:idx val="2"/>
          <c:order val="2"/>
          <c:tx>
            <c:strRef>
              <c:f>P.HD.ENG.!$A$175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P.HD.ENG.!$B$172:$F$172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P.HD.ENG.!$B$175:$F$175</c:f>
              <c:numCache>
                <c:formatCode>0</c:formatCode>
                <c:ptCount val="5"/>
                <c:pt idx="0">
                  <c:v>23.863636363636349</c:v>
                </c:pt>
                <c:pt idx="1">
                  <c:v>28.40909090909091</c:v>
                </c:pt>
                <c:pt idx="2">
                  <c:v>24.137931034482783</c:v>
                </c:pt>
                <c:pt idx="3">
                  <c:v>21.83908045977013</c:v>
                </c:pt>
                <c:pt idx="4">
                  <c:v>32.911392405063239</c:v>
                </c:pt>
              </c:numCache>
            </c:numRef>
          </c:val>
        </c:ser>
        <c:ser>
          <c:idx val="3"/>
          <c:order val="3"/>
          <c:tx>
            <c:strRef>
              <c:f>P.HD.ENG.!$A$176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P.HD.ENG.!$B$172:$F$172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P.HD.ENG.!$B$176:$F$176</c:f>
              <c:numCache>
                <c:formatCode>0</c:formatCode>
                <c:ptCount val="5"/>
                <c:pt idx="0">
                  <c:v>15.909090909090915</c:v>
                </c:pt>
                <c:pt idx="1">
                  <c:v>11.363636363636374</c:v>
                </c:pt>
                <c:pt idx="2">
                  <c:v>14.942528735632179</c:v>
                </c:pt>
                <c:pt idx="3">
                  <c:v>18.390804597701134</c:v>
                </c:pt>
                <c:pt idx="4">
                  <c:v>17.721518987341756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283392"/>
        <c:axId val="44284928"/>
        <c:axId val="0"/>
      </c:bar3DChart>
      <c:catAx>
        <c:axId val="44283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4284928"/>
        <c:crosses val="autoZero"/>
        <c:auto val="1"/>
        <c:lblAlgn val="ctr"/>
        <c:lblOffset val="100"/>
        <c:noMultiLvlLbl val="0"/>
      </c:catAx>
      <c:valAx>
        <c:axId val="4428492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42833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P.HD.ENG.!$H$173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P.HD.ENG.!$I$172:$M$172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P.HD.ENG.!$I$173:$M$173</c:f>
              <c:numCache>
                <c:formatCode>0</c:formatCode>
                <c:ptCount val="5"/>
                <c:pt idx="0">
                  <c:v>12.403100775193799</c:v>
                </c:pt>
                <c:pt idx="1">
                  <c:v>14.84375</c:v>
                </c:pt>
                <c:pt idx="2">
                  <c:v>16.40625</c:v>
                </c:pt>
                <c:pt idx="3">
                  <c:v>15.079365079365079</c:v>
                </c:pt>
                <c:pt idx="4">
                  <c:v>6.1946902654867255</c:v>
                </c:pt>
              </c:numCache>
            </c:numRef>
          </c:val>
        </c:ser>
        <c:ser>
          <c:idx val="1"/>
          <c:order val="1"/>
          <c:tx>
            <c:strRef>
              <c:f>P.HD.ENG.!$H$174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P.HD.ENG.!$I$172:$M$172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P.HD.ENG.!$I$174:$M$174</c:f>
              <c:numCache>
                <c:formatCode>0</c:formatCode>
                <c:ptCount val="5"/>
                <c:pt idx="0">
                  <c:v>24.806201550387588</c:v>
                </c:pt>
                <c:pt idx="1">
                  <c:v>27.34375</c:v>
                </c:pt>
                <c:pt idx="2">
                  <c:v>21.09375</c:v>
                </c:pt>
                <c:pt idx="3">
                  <c:v>26.984126984126956</c:v>
                </c:pt>
                <c:pt idx="4">
                  <c:v>23.008849557522101</c:v>
                </c:pt>
              </c:numCache>
            </c:numRef>
          </c:val>
        </c:ser>
        <c:ser>
          <c:idx val="2"/>
          <c:order val="2"/>
          <c:tx>
            <c:strRef>
              <c:f>P.HD.ENG.!$H$175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P.HD.ENG.!$I$172:$M$172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P.HD.ENG.!$I$175:$M$175</c:f>
              <c:numCache>
                <c:formatCode>0</c:formatCode>
                <c:ptCount val="5"/>
                <c:pt idx="0">
                  <c:v>38.759689922480625</c:v>
                </c:pt>
                <c:pt idx="1">
                  <c:v>38.28125</c:v>
                </c:pt>
                <c:pt idx="2">
                  <c:v>40.625000000000028</c:v>
                </c:pt>
                <c:pt idx="3">
                  <c:v>36.507936507936478</c:v>
                </c:pt>
                <c:pt idx="4">
                  <c:v>35.398230088495573</c:v>
                </c:pt>
              </c:numCache>
            </c:numRef>
          </c:val>
        </c:ser>
        <c:ser>
          <c:idx val="3"/>
          <c:order val="3"/>
          <c:tx>
            <c:strRef>
              <c:f>P.HD.ENG.!$H$176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P.HD.ENG.!$I$172:$M$172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P.HD.ENG.!$I$176:$M$176</c:f>
              <c:numCache>
                <c:formatCode>0</c:formatCode>
                <c:ptCount val="5"/>
                <c:pt idx="0">
                  <c:v>24.031007751937985</c:v>
                </c:pt>
                <c:pt idx="1">
                  <c:v>19.531250000000014</c:v>
                </c:pt>
                <c:pt idx="2">
                  <c:v>21.875</c:v>
                </c:pt>
                <c:pt idx="3">
                  <c:v>21.428571428571427</c:v>
                </c:pt>
                <c:pt idx="4">
                  <c:v>35.398230088495573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855872"/>
        <c:axId val="43857408"/>
        <c:axId val="0"/>
      </c:bar3DChart>
      <c:catAx>
        <c:axId val="43855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3857408"/>
        <c:crosses val="autoZero"/>
        <c:auto val="1"/>
        <c:lblAlgn val="ctr"/>
        <c:lblOffset val="100"/>
        <c:noMultiLvlLbl val="0"/>
      </c:catAx>
      <c:valAx>
        <c:axId val="4385740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38558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P.HD.ENG.!$O$173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P.HD.ENG.!$P$172:$T$172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P.HD.ENG.!$P$173:$T$173</c:f>
              <c:numCache>
                <c:formatCode>0</c:formatCode>
                <c:ptCount val="5"/>
                <c:pt idx="0">
                  <c:v>10.714285714285714</c:v>
                </c:pt>
                <c:pt idx="1">
                  <c:v>17.857142857142843</c:v>
                </c:pt>
                <c:pt idx="2">
                  <c:v>14.285714285714286</c:v>
                </c:pt>
                <c:pt idx="3">
                  <c:v>8.3333333333333321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P.HD.ENG.!$O$174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P.HD.ENG.!$P$172:$T$172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P.HD.ENG.!$P$174:$T$174</c:f>
              <c:numCache>
                <c:formatCode>0</c:formatCode>
                <c:ptCount val="5"/>
                <c:pt idx="0">
                  <c:v>35.714285714285715</c:v>
                </c:pt>
                <c:pt idx="1">
                  <c:v>39.285714285714285</c:v>
                </c:pt>
                <c:pt idx="2">
                  <c:v>42.857142857142819</c:v>
                </c:pt>
                <c:pt idx="3">
                  <c:v>45.833333333333329</c:v>
                </c:pt>
                <c:pt idx="4">
                  <c:v>45</c:v>
                </c:pt>
              </c:numCache>
            </c:numRef>
          </c:val>
        </c:ser>
        <c:ser>
          <c:idx val="2"/>
          <c:order val="2"/>
          <c:tx>
            <c:strRef>
              <c:f>P.HD.ENG.!$O$175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P.HD.ENG.!$P$172:$T$172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P.HD.ENG.!$P$175:$T$175</c:f>
              <c:numCache>
                <c:formatCode>0</c:formatCode>
                <c:ptCount val="5"/>
                <c:pt idx="0">
                  <c:v>39.285714285714285</c:v>
                </c:pt>
                <c:pt idx="1">
                  <c:v>28.571428571428569</c:v>
                </c:pt>
                <c:pt idx="2">
                  <c:v>28.571428571428569</c:v>
                </c:pt>
                <c:pt idx="3">
                  <c:v>25</c:v>
                </c:pt>
                <c:pt idx="4">
                  <c:v>30</c:v>
                </c:pt>
              </c:numCache>
            </c:numRef>
          </c:val>
        </c:ser>
        <c:ser>
          <c:idx val="3"/>
          <c:order val="3"/>
          <c:tx>
            <c:strRef>
              <c:f>P.HD.ENG.!$O$176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P.HD.ENG.!$P$172:$T$172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P.HD.ENG.!$P$176:$T$176</c:f>
              <c:numCache>
                <c:formatCode>0</c:formatCode>
                <c:ptCount val="5"/>
                <c:pt idx="0">
                  <c:v>14.285714285714286</c:v>
                </c:pt>
                <c:pt idx="1">
                  <c:v>14.285714285714286</c:v>
                </c:pt>
                <c:pt idx="2">
                  <c:v>14.285714285714286</c:v>
                </c:pt>
                <c:pt idx="3">
                  <c:v>20.833333333333311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173184"/>
        <c:axId val="44174720"/>
        <c:axId val="0"/>
      </c:bar3DChart>
      <c:catAx>
        <c:axId val="44173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4174720"/>
        <c:crosses val="autoZero"/>
        <c:auto val="1"/>
        <c:lblAlgn val="ctr"/>
        <c:lblOffset val="100"/>
        <c:noMultiLvlLbl val="0"/>
      </c:catAx>
      <c:valAx>
        <c:axId val="4417472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41731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P.HD.ENG.!$V$173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P.HD.ENG.!$W$172:$AA$172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P.HD.ENG.!$W$173:$AA$173</c:f>
              <c:numCache>
                <c:formatCode>0</c:formatCode>
                <c:ptCount val="5"/>
                <c:pt idx="0">
                  <c:v>18.181818181818201</c:v>
                </c:pt>
                <c:pt idx="1">
                  <c:v>18.181818181818201</c:v>
                </c:pt>
                <c:pt idx="2">
                  <c:v>4.5454545454545459</c:v>
                </c:pt>
                <c:pt idx="3">
                  <c:v>5.2631578947368416</c:v>
                </c:pt>
                <c:pt idx="4">
                  <c:v>5.2631578947368416</c:v>
                </c:pt>
              </c:numCache>
            </c:numRef>
          </c:val>
        </c:ser>
        <c:ser>
          <c:idx val="1"/>
          <c:order val="1"/>
          <c:tx>
            <c:strRef>
              <c:f>P.HD.ENG.!$V$174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P.HD.ENG.!$W$172:$AA$172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P.HD.ENG.!$W$174:$AA$174</c:f>
              <c:numCache>
                <c:formatCode>0</c:formatCode>
                <c:ptCount val="5"/>
                <c:pt idx="0">
                  <c:v>27.272727272727224</c:v>
                </c:pt>
                <c:pt idx="1">
                  <c:v>18.181818181818201</c:v>
                </c:pt>
                <c:pt idx="2">
                  <c:v>27.272727272727224</c:v>
                </c:pt>
                <c:pt idx="3">
                  <c:v>31.578947368421037</c:v>
                </c:pt>
                <c:pt idx="4">
                  <c:v>31.578947368421037</c:v>
                </c:pt>
              </c:numCache>
            </c:numRef>
          </c:val>
        </c:ser>
        <c:ser>
          <c:idx val="2"/>
          <c:order val="2"/>
          <c:tx>
            <c:strRef>
              <c:f>P.HD.ENG.!$V$175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P.HD.ENG.!$W$172:$AA$172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P.HD.ENG.!$W$175:$AA$175</c:f>
              <c:numCache>
                <c:formatCode>0</c:formatCode>
                <c:ptCount val="5"/>
                <c:pt idx="0">
                  <c:v>27.272727272727224</c:v>
                </c:pt>
                <c:pt idx="1">
                  <c:v>36.363636363636317</c:v>
                </c:pt>
                <c:pt idx="2">
                  <c:v>36.363636363636317</c:v>
                </c:pt>
                <c:pt idx="3">
                  <c:v>26.315789473684209</c:v>
                </c:pt>
                <c:pt idx="4">
                  <c:v>31.578947368421037</c:v>
                </c:pt>
              </c:numCache>
            </c:numRef>
          </c:val>
        </c:ser>
        <c:ser>
          <c:idx val="3"/>
          <c:order val="3"/>
          <c:tx>
            <c:strRef>
              <c:f>P.HD.ENG.!$V$176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P.HD.ENG.!$W$172:$AA$172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P.HD.ENG.!$W$176:$AA$176</c:f>
              <c:numCache>
                <c:formatCode>0</c:formatCode>
                <c:ptCount val="5"/>
                <c:pt idx="0">
                  <c:v>27.272727272727224</c:v>
                </c:pt>
                <c:pt idx="1">
                  <c:v>27.272727272727224</c:v>
                </c:pt>
                <c:pt idx="2">
                  <c:v>31.818181818181817</c:v>
                </c:pt>
                <c:pt idx="3">
                  <c:v>36.842105263157912</c:v>
                </c:pt>
                <c:pt idx="4">
                  <c:v>31.578947368421037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207488"/>
        <c:axId val="44225664"/>
        <c:axId val="0"/>
      </c:bar3DChart>
      <c:catAx>
        <c:axId val="44207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4225664"/>
        <c:crosses val="autoZero"/>
        <c:auto val="1"/>
        <c:lblAlgn val="ctr"/>
        <c:lblOffset val="100"/>
        <c:noMultiLvlLbl val="0"/>
      </c:catAx>
      <c:valAx>
        <c:axId val="4422566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42074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05B1-CDE6-4C58-9EAA-4A1C740F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4</cp:revision>
  <dcterms:created xsi:type="dcterms:W3CDTF">2018-06-06T13:08:00Z</dcterms:created>
  <dcterms:modified xsi:type="dcterms:W3CDTF">2018-10-16T10:52:00Z</dcterms:modified>
</cp:coreProperties>
</file>