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AB7092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</w:t>
      </w:r>
      <w:r w:rsidR="00C8391D">
        <w:rPr>
          <w:rFonts w:ascii="Times New Roman" w:hAnsi="Times New Roman" w:cs="Times New Roman"/>
          <w:b/>
          <w:sz w:val="24"/>
          <w:szCs w:val="24"/>
        </w:rPr>
        <w:t>sis of feedbacks of students of M.ED.</w:t>
      </w:r>
      <w:r w:rsidR="002F2699">
        <w:rPr>
          <w:rFonts w:ascii="Times New Roman" w:hAnsi="Times New Roman" w:cs="Times New Roman"/>
          <w:b/>
          <w:sz w:val="24"/>
          <w:szCs w:val="24"/>
        </w:rPr>
        <w:t xml:space="preserve"> Semester-</w:t>
      </w:r>
      <w:r w:rsidR="00AB7092">
        <w:rPr>
          <w:rFonts w:ascii="Times New Roman" w:hAnsi="Times New Roman" w:cs="Times New Roman"/>
          <w:b/>
          <w:sz w:val="24"/>
          <w:szCs w:val="24"/>
        </w:rPr>
        <w:t>I</w:t>
      </w:r>
      <w:r w:rsidR="002F2699"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jc w:val="center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AB7092">
        <w:trPr>
          <w:trHeight w:val="32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C6516" w:rsidRPr="000C6516" w:rsidRDefault="00AB7092" w:rsidP="00A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C6516" w:rsidRPr="000C6516" w:rsidRDefault="00AB7092" w:rsidP="00A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C6516" w:rsidRPr="000C6516" w:rsidRDefault="00AB7092" w:rsidP="00A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C6516" w:rsidRPr="000C6516" w:rsidRDefault="00AB7092" w:rsidP="00A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C6516" w:rsidRPr="000C6516" w:rsidRDefault="00AB7092" w:rsidP="00A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1A2DA3" w:rsidRPr="001A2DA3" w:rsidTr="00AB7092">
        <w:trPr>
          <w:trHeight w:val="32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AB7092" w:rsidRPr="001A2DA3" w:rsidTr="00AB7092">
        <w:trPr>
          <w:trHeight w:val="23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92" w:rsidRPr="001A2DA3" w:rsidRDefault="00AB709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AB7092" w:rsidRPr="001A2DA3" w:rsidTr="00AB709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92" w:rsidRPr="001A2DA3" w:rsidRDefault="00AB709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AB7092" w:rsidRPr="001A2DA3" w:rsidTr="00AB709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92" w:rsidRPr="001A2DA3" w:rsidRDefault="00AB709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B7092" w:rsidRPr="001A2DA3" w:rsidTr="00AB709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92" w:rsidRPr="001A2DA3" w:rsidRDefault="00AB709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AB7092" w:rsidRPr="001A2DA3" w:rsidTr="00AB7092">
        <w:trPr>
          <w:trHeight w:val="3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92" w:rsidRPr="001A2DA3" w:rsidRDefault="00AB709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92" w:rsidRDefault="00AB70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7092" w:rsidRDefault="00AB7092" w:rsidP="0033095A">
      <w:pPr>
        <w:tabs>
          <w:tab w:val="left" w:pos="94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7092" w:rsidRDefault="00AB7092" w:rsidP="00AB7092">
      <w:pPr>
        <w:tabs>
          <w:tab w:val="left" w:pos="944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22877" cy="1699146"/>
            <wp:effectExtent l="0" t="0" r="1651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1BA8" w:rsidRDefault="00AB7092" w:rsidP="009D224F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9D224F" w:rsidRPr="009D224F" w:rsidRDefault="009D224F" w:rsidP="009D22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9D224F">
        <w:rPr>
          <w:rFonts w:ascii="Times New Roman" w:hAnsi="Times New Roman" w:cs="Times New Roman"/>
          <w:sz w:val="24"/>
          <w:szCs w:val="24"/>
        </w:rPr>
        <w:t xml:space="preserve">% of the students have rated course curriculum of sub1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9D224F" w:rsidRPr="009D224F" w:rsidRDefault="009D224F" w:rsidP="009D224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4F">
        <w:rPr>
          <w:rFonts w:ascii="Times New Roman" w:hAnsi="Times New Roman" w:cs="Times New Roman"/>
          <w:sz w:val="24"/>
          <w:szCs w:val="24"/>
        </w:rPr>
        <w:t>25</w:t>
      </w:r>
      <w:r w:rsidR="00873F82" w:rsidRPr="009D224F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9D224F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9D224F">
        <w:rPr>
          <w:rFonts w:ascii="Times New Roman" w:hAnsi="Times New Roman" w:cs="Times New Roman"/>
          <w:sz w:val="24"/>
          <w:szCs w:val="24"/>
        </w:rPr>
        <w:t xml:space="preserve"> sub1</w:t>
      </w:r>
      <w:r w:rsidR="00873F82" w:rsidRPr="009D224F">
        <w:rPr>
          <w:rFonts w:ascii="Times New Roman" w:hAnsi="Times New Roman" w:cs="Times New Roman"/>
          <w:sz w:val="24"/>
          <w:szCs w:val="24"/>
        </w:rPr>
        <w:t xml:space="preserve"> as </w:t>
      </w:r>
      <w:r w:rsidRPr="009D224F">
        <w:rPr>
          <w:rFonts w:ascii="Times New Roman" w:hAnsi="Times New Roman" w:cs="Times New Roman"/>
          <w:sz w:val="24"/>
          <w:szCs w:val="24"/>
        </w:rPr>
        <w:t>outstandin</w:t>
      </w:r>
      <w:r w:rsidR="002F2699">
        <w:rPr>
          <w:rFonts w:ascii="Times New Roman" w:hAnsi="Times New Roman" w:cs="Times New Roman"/>
          <w:sz w:val="24"/>
          <w:szCs w:val="24"/>
        </w:rPr>
        <w:t>g</w:t>
      </w:r>
    </w:p>
    <w:p w:rsidR="0033095A" w:rsidRPr="00236F1C" w:rsidRDefault="009D22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9D224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1BA8" w:rsidRDefault="00AB709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Sub2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1BA8" w:rsidRDefault="009D224F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Sub3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E7E">
        <w:rPr>
          <w:rFonts w:ascii="Times New Roman" w:hAnsi="Times New Roman" w:cs="Times New Roman"/>
          <w:sz w:val="24"/>
          <w:szCs w:val="24"/>
        </w:rPr>
        <w:t>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A8" w:rsidRDefault="009D224F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Sub4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481BA8" w:rsidRDefault="009D224F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Sub5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32E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9D224F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132E7E" w:rsidRDefault="00132E7E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2F2699">
        <w:rPr>
          <w:rFonts w:ascii="Times New Roman" w:hAnsi="Times New Roman" w:cs="Times New Roman"/>
          <w:sz w:val="24"/>
          <w:szCs w:val="24"/>
        </w:rPr>
        <w:t xml:space="preserve">Frequency and </w:t>
      </w:r>
      <w:r w:rsidR="0033095A" w:rsidRPr="00C114ED">
        <w:rPr>
          <w:rFonts w:ascii="Times New Roman" w:hAnsi="Times New Roman" w:cs="Times New Roman"/>
          <w:sz w:val="24"/>
          <w:szCs w:val="24"/>
        </w:rPr>
        <w:t>Percentage</w:t>
      </w:r>
      <w:r w:rsidR="002F2699">
        <w:rPr>
          <w:rFonts w:ascii="Times New Roman" w:hAnsi="Times New Roman" w:cs="Times New Roman"/>
          <w:sz w:val="24"/>
          <w:szCs w:val="24"/>
        </w:rPr>
        <w:t>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14" w:type="dxa"/>
        <w:jc w:val="center"/>
        <w:tblInd w:w="98" w:type="dxa"/>
        <w:tblLook w:val="04A0" w:firstRow="1" w:lastRow="0" w:firstColumn="1" w:lastColumn="0" w:noHBand="0" w:noVBand="1"/>
      </w:tblPr>
      <w:tblGrid>
        <w:gridCol w:w="874"/>
        <w:gridCol w:w="837"/>
        <w:gridCol w:w="911"/>
        <w:gridCol w:w="932"/>
        <w:gridCol w:w="816"/>
        <w:gridCol w:w="885"/>
        <w:gridCol w:w="863"/>
        <w:gridCol w:w="838"/>
        <w:gridCol w:w="910"/>
        <w:gridCol w:w="933"/>
        <w:gridCol w:w="815"/>
      </w:tblGrid>
      <w:tr w:rsidR="00132E7E" w:rsidRPr="00BA70BF" w:rsidTr="00251885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32E7E" w:rsidRPr="000C6516" w:rsidRDefault="00132E7E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32E7E" w:rsidRPr="000C6516" w:rsidRDefault="00132E7E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32E7E" w:rsidRPr="000C6516" w:rsidRDefault="00132E7E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32E7E" w:rsidRPr="000C6516" w:rsidRDefault="00132E7E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32E7E" w:rsidRPr="000C6516" w:rsidRDefault="00132E7E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132E7E" w:rsidRPr="00BA70BF" w:rsidTr="00251885">
        <w:trPr>
          <w:trHeight w:val="34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32E7E" w:rsidRPr="00BA70BF" w:rsidRDefault="00132E7E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51885" w:rsidRPr="00BA70BF" w:rsidTr="00251885">
        <w:trPr>
          <w:trHeight w:val="4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885" w:rsidRPr="00BA70BF" w:rsidRDefault="00251885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51885" w:rsidRPr="00BA70BF" w:rsidTr="00251885">
        <w:trPr>
          <w:trHeight w:val="34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885" w:rsidRPr="00BA70BF" w:rsidRDefault="00251885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251885" w:rsidRPr="00BA70BF" w:rsidTr="00251885">
        <w:trPr>
          <w:trHeight w:val="34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885" w:rsidRPr="00BA70BF" w:rsidRDefault="00251885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251885" w:rsidRPr="00BA70BF" w:rsidTr="00251885">
        <w:trPr>
          <w:trHeight w:val="34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885" w:rsidRPr="00BA70BF" w:rsidRDefault="00251885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51885" w:rsidRPr="00BA70BF" w:rsidTr="00251885">
        <w:trPr>
          <w:trHeight w:val="34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885" w:rsidRPr="00BA70BF" w:rsidRDefault="00251885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885" w:rsidRDefault="002518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51885" w:rsidP="00251885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281684" cy="2245056"/>
            <wp:effectExtent l="0" t="0" r="14605" b="222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81BA8" w:rsidRPr="00481BA8" w:rsidRDefault="0025188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Sub1</w:t>
      </w:r>
    </w:p>
    <w:p w:rsidR="000B7B25" w:rsidRPr="00D549BA" w:rsidRDefault="000B7B25" w:rsidP="000B7B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44% </w:t>
      </w:r>
      <w:r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>
        <w:rPr>
          <w:rFonts w:ascii="Times New Roman" w:hAnsi="Times New Roman" w:cs="Times New Roman"/>
          <w:sz w:val="24"/>
          <w:szCs w:val="24"/>
        </w:rPr>
        <w:t>d performance of sub1</w:t>
      </w:r>
      <w:r w:rsidR="002F2699">
        <w:rPr>
          <w:rFonts w:ascii="Times New Roman" w:hAnsi="Times New Roman" w:cs="Times New Roman"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BA70BF" w:rsidRPr="000B7B25" w:rsidRDefault="000B7B25" w:rsidP="000B7B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251885">
        <w:rPr>
          <w:rFonts w:ascii="Times New Roman" w:hAnsi="Times New Roman" w:cs="Times New Roman"/>
          <w:sz w:val="24"/>
          <w:szCs w:val="24"/>
        </w:rPr>
        <w:t>sub1</w:t>
      </w:r>
      <w:r w:rsidR="002F2699">
        <w:rPr>
          <w:rFonts w:ascii="Times New Roman" w:hAnsi="Times New Roman" w:cs="Times New Roman"/>
          <w:sz w:val="24"/>
          <w:szCs w:val="24"/>
        </w:rPr>
        <w:t xml:space="preserve"> teacher</w:t>
      </w:r>
      <w:r w:rsidR="002F269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51885">
        <w:rPr>
          <w:rFonts w:ascii="Times New Roman" w:hAnsi="Times New Roman" w:cs="Times New Roman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2F2699">
        <w:rPr>
          <w:rFonts w:ascii="Times New Roman" w:hAnsi="Times New Roman" w:cs="Times New Roman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B7B25" w:rsidP="000B7B25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51885">
        <w:rPr>
          <w:rFonts w:ascii="Times New Roman" w:hAnsi="Times New Roman" w:cs="Times New Roman"/>
          <w:sz w:val="24"/>
          <w:szCs w:val="24"/>
        </w:rPr>
        <w:t>sub1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2F2699">
        <w:rPr>
          <w:rFonts w:ascii="Times New Roman" w:hAnsi="Times New Roman" w:cs="Times New Roman"/>
          <w:sz w:val="24"/>
          <w:szCs w:val="24"/>
        </w:rPr>
        <w:t xml:space="preserve">teacher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1BA8" w:rsidRDefault="0025188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Sub2</w:t>
      </w:r>
      <w:r w:rsidR="002F269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2F2699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1BA8" w:rsidRDefault="0025188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Sub3</w:t>
      </w:r>
    </w:p>
    <w:p w:rsidR="00282929" w:rsidRPr="00D549BA" w:rsidRDefault="000B7B2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0B7B2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82929" w:rsidRPr="00D549BA" w:rsidRDefault="000B7B2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0B7B2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F2699">
        <w:rPr>
          <w:rFonts w:ascii="Times New Roman" w:hAnsi="Times New Roman" w:cs="Times New Roman"/>
          <w:sz w:val="24"/>
          <w:szCs w:val="24"/>
        </w:rPr>
        <w:t xml:space="preserve">teacher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A8" w:rsidRDefault="0025188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Sub4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2F2699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481BA8" w:rsidRDefault="00251885" w:rsidP="0033095A">
      <w:pPr>
        <w:pStyle w:val="ListParagraph"/>
        <w:tabs>
          <w:tab w:val="left" w:pos="944"/>
        </w:tabs>
        <w:spacing w:after="0"/>
        <w:ind w:left="284"/>
        <w:jc w:val="both"/>
        <w:rPr>
          <w:noProof/>
          <w:sz w:val="24"/>
          <w:szCs w:val="24"/>
          <w:lang w:val="en-IN" w:eastAsia="en-IN"/>
        </w:rPr>
      </w:pPr>
      <w:r w:rsidRPr="00251885">
        <w:rPr>
          <w:noProof/>
          <w:sz w:val="24"/>
          <w:szCs w:val="24"/>
          <w:lang w:val="en-IN" w:eastAsia="en-IN"/>
        </w:rPr>
        <w:t>Sub5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2F2699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0B7B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186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1B5425" w:rsidRPr="001C2BFD" w:rsidTr="001B5425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B5425" w:rsidRPr="000C6516" w:rsidRDefault="001B5425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B5425" w:rsidRPr="000C6516" w:rsidRDefault="001B5425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B5425" w:rsidRPr="000C6516" w:rsidRDefault="001B5425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B5425" w:rsidRPr="000C6516" w:rsidRDefault="001B5425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1B5425" w:rsidRPr="000C6516" w:rsidRDefault="001B5425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1B5425" w:rsidRPr="001C2BFD" w:rsidTr="001B5425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B5425" w:rsidRPr="001C2BFD" w:rsidTr="001B5425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B5425" w:rsidRPr="001C2BFD" w:rsidTr="001B5425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1B5425" w:rsidRPr="001C2BFD" w:rsidTr="001B5425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1B5425" w:rsidRPr="001C2BFD" w:rsidTr="001B5425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1B5425" w:rsidRPr="001C2BFD" w:rsidTr="001B5425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425" w:rsidRPr="001C2BFD" w:rsidRDefault="001B5425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425" w:rsidRDefault="001B54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2BFD" w:rsidRDefault="001B5425" w:rsidP="00840C2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684292" cy="2149522"/>
            <wp:effectExtent l="0" t="0" r="12065" b="222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840C2F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Sub1</w:t>
      </w:r>
    </w:p>
    <w:p w:rsidR="0033095A" w:rsidRPr="00236F1C" w:rsidRDefault="001C2B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40C2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840C2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840C2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840C2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43394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840C2F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40C2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40C2F" w:rsidRDefault="00840C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40C2F" w:rsidRDefault="00840C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40C2F" w:rsidRDefault="00840C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40C2F" w:rsidRDefault="00840C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3AF8" w:rsidRDefault="00EE3AF8" w:rsidP="00EE3A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5A5287" w:rsidRDefault="00EE3AF8" w:rsidP="00EE3A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EE3AF8">
        <w:rPr>
          <w:b/>
          <w:noProof/>
          <w:sz w:val="24"/>
          <w:szCs w:val="24"/>
          <w:lang w:val="en-IN" w:eastAsia="en-IN"/>
        </w:rPr>
        <w:t>The feedback of sutenfs about is Presented in tabular and graphical form as follws:</w:t>
      </w:r>
    </w:p>
    <w:p w:rsidR="005A5287" w:rsidRPr="00EE3AF8" w:rsidRDefault="005A5287" w:rsidP="00EE3AF8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877" w:type="dxa"/>
        <w:tblInd w:w="98" w:type="dxa"/>
        <w:tblLook w:val="04A0" w:firstRow="1" w:lastRow="0" w:firstColumn="1" w:lastColumn="0" w:noHBand="0" w:noVBand="1"/>
      </w:tblPr>
      <w:tblGrid>
        <w:gridCol w:w="897"/>
        <w:gridCol w:w="793"/>
        <w:gridCol w:w="1003"/>
        <w:gridCol w:w="793"/>
        <w:gridCol w:w="1003"/>
        <w:gridCol w:w="793"/>
        <w:gridCol w:w="1003"/>
        <w:gridCol w:w="793"/>
        <w:gridCol w:w="1003"/>
        <w:gridCol w:w="793"/>
        <w:gridCol w:w="1003"/>
      </w:tblGrid>
      <w:tr w:rsidR="00EE3AF8" w:rsidRPr="001C2BFD" w:rsidTr="005A5287">
        <w:trPr>
          <w:trHeight w:val="29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EE3AF8" w:rsidRPr="000C6516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EE3AF8" w:rsidRPr="000C6516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EE3AF8" w:rsidRPr="000C6516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EE3AF8" w:rsidRPr="000C6516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</w:tcPr>
          <w:p w:rsidR="00EE3AF8" w:rsidRPr="000C6516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EE3AF8" w:rsidRPr="001C2BFD" w:rsidTr="005A5287">
        <w:trPr>
          <w:trHeight w:val="29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EE3AF8" w:rsidRPr="001C2BFD" w:rsidTr="005A5287">
        <w:trPr>
          <w:trHeight w:val="29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E3AF8" w:rsidRPr="001C2BFD" w:rsidTr="005A5287">
        <w:trPr>
          <w:trHeight w:val="29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E3AF8" w:rsidRPr="001C2BFD" w:rsidTr="005A5287">
        <w:trPr>
          <w:trHeight w:val="29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EE3AF8" w:rsidRPr="001C2BFD" w:rsidTr="005A5287">
        <w:trPr>
          <w:trHeight w:val="29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EE3AF8" w:rsidRPr="001C2BFD" w:rsidTr="005A5287">
        <w:trPr>
          <w:trHeight w:val="29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AF8" w:rsidRPr="001C2BFD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AF8" w:rsidRDefault="00EE3A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A5287" w:rsidRDefault="005A5287" w:rsidP="005A5287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840C2F" w:rsidRDefault="005A5287" w:rsidP="005A5287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6243851" cy="2197290"/>
            <wp:effectExtent l="0" t="0" r="24130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287" w:rsidRDefault="005A5287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A5287" w:rsidRDefault="005A5287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A5287" w:rsidRDefault="005A5287" w:rsidP="005A528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A5287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5A5287" w:rsidRPr="00B15C6F" w:rsidRDefault="005A5287" w:rsidP="005A528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A5287" w:rsidRPr="00236F1C" w:rsidRDefault="005A5287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>
        <w:rPr>
          <w:rFonts w:ascii="Times New Roman" w:hAnsi="Times New Roman" w:cs="Times New Roman"/>
          <w:sz w:val="24"/>
          <w:szCs w:val="24"/>
        </w:rPr>
        <w:t xml:space="preserve"> 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5A5287" w:rsidRPr="00236F1C" w:rsidRDefault="005A5287" w:rsidP="005A5287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A5287" w:rsidRPr="005A5287" w:rsidRDefault="005A5287" w:rsidP="005A528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287">
        <w:rPr>
          <w:b/>
          <w:noProof/>
          <w:sz w:val="24"/>
          <w:szCs w:val="24"/>
          <w:lang w:val="en-IN" w:eastAsia="en-IN"/>
        </w:rPr>
        <w:t>Sub3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52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sub3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52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sub3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outstanding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5287">
        <w:rPr>
          <w:rFonts w:ascii="Times New Roman" w:hAnsi="Times New Roman" w:cs="Times New Roman"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sub3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good</w:t>
      </w:r>
    </w:p>
    <w:p w:rsidR="005A5287" w:rsidRPr="003E53F5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sub3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average</w:t>
      </w:r>
    </w:p>
    <w:p w:rsidR="005A5287" w:rsidRPr="00236F1C" w:rsidRDefault="005A5287" w:rsidP="005A528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287" w:rsidRPr="00B15C6F" w:rsidRDefault="005A5287" w:rsidP="005A528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52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sub4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5287">
        <w:rPr>
          <w:rFonts w:ascii="Times New Roman" w:hAnsi="Times New Roman" w:cs="Times New Roman"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sub4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outstanding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A5287">
        <w:rPr>
          <w:rFonts w:ascii="Times New Roman" w:hAnsi="Times New Roman" w:cs="Times New Roman"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sub4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good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sub4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average</w:t>
      </w:r>
    </w:p>
    <w:p w:rsidR="005A5287" w:rsidRDefault="005A5287" w:rsidP="005A5287">
      <w:pPr>
        <w:rPr>
          <w:rFonts w:ascii="Times New Roman" w:hAnsi="Times New Roman" w:cs="Times New Roman"/>
          <w:sz w:val="24"/>
          <w:szCs w:val="24"/>
        </w:rPr>
      </w:pPr>
    </w:p>
    <w:p w:rsidR="005A5287" w:rsidRPr="00B15C6F" w:rsidRDefault="005A5287" w:rsidP="005A528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52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sub5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A5287">
        <w:rPr>
          <w:rFonts w:ascii="Times New Roman" w:hAnsi="Times New Roman" w:cs="Times New Roman"/>
          <w:sz w:val="24"/>
          <w:szCs w:val="24"/>
        </w:rPr>
        <w:t xml:space="preserve">% 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sub5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outstanding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528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5A5287">
        <w:rPr>
          <w:rFonts w:ascii="Times New Roman" w:hAnsi="Times New Roman" w:cs="Times New Roman"/>
          <w:sz w:val="24"/>
          <w:szCs w:val="24"/>
        </w:rPr>
        <w:t>sub5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A5287">
        <w:rPr>
          <w:rFonts w:ascii="Times New Roman" w:hAnsi="Times New Roman" w:cs="Times New Roman"/>
          <w:sz w:val="24"/>
          <w:szCs w:val="24"/>
        </w:rPr>
        <w:t>good</w:t>
      </w:r>
    </w:p>
    <w:p w:rsidR="005A5287" w:rsidRPr="00236F1C" w:rsidRDefault="00D04A65" w:rsidP="005A52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287">
        <w:rPr>
          <w:rFonts w:ascii="Times New Roman" w:hAnsi="Times New Roman" w:cs="Times New Roman"/>
          <w:sz w:val="24"/>
          <w:szCs w:val="24"/>
        </w:rPr>
        <w:t>%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A239C1">
        <w:rPr>
          <w:rFonts w:ascii="Times New Roman" w:hAnsi="Times New Roman" w:cs="Times New Roman"/>
          <w:sz w:val="24"/>
          <w:szCs w:val="24"/>
        </w:rPr>
        <w:t>Overall about</w:t>
      </w:r>
      <w:r w:rsidR="005A5287">
        <w:rPr>
          <w:rFonts w:ascii="Times New Roman" w:hAnsi="Times New Roman" w:cs="Times New Roman"/>
          <w:sz w:val="24"/>
          <w:szCs w:val="24"/>
        </w:rPr>
        <w:t xml:space="preserve"> sub5</w:t>
      </w:r>
      <w:r w:rsidR="005A528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5A5287">
        <w:rPr>
          <w:rFonts w:ascii="Times New Roman" w:hAnsi="Times New Roman" w:cs="Times New Roman"/>
          <w:sz w:val="24"/>
          <w:szCs w:val="24"/>
        </w:rPr>
        <w:t>average</w:t>
      </w:r>
    </w:p>
    <w:p w:rsidR="005A5287" w:rsidRDefault="005A5287" w:rsidP="005A528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40C2F" w:rsidRDefault="00840C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B3533" w:rsidRDefault="00CB3533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2F6BDD" w:rsidTr="002F6BDD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CB3533" w:rsidTr="00CB35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3" w:rsidRDefault="00CB3533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3533" w:rsidTr="00CB35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3" w:rsidRDefault="00CB3533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B3533" w:rsidTr="00CB35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3" w:rsidRDefault="00CB3533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CB3533" w:rsidTr="00CB35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3" w:rsidRDefault="00CB3533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CB3533" w:rsidTr="00CB35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3" w:rsidRDefault="00CB3533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533" w:rsidRDefault="00CB35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3095A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B3533" w:rsidRDefault="00CB3533" w:rsidP="0033095A">
      <w:pPr>
        <w:rPr>
          <w:rFonts w:ascii="Times New Roman" w:hAnsi="Times New Roman" w:cs="Times New Roman"/>
          <w:sz w:val="24"/>
          <w:szCs w:val="24"/>
        </w:rPr>
      </w:pPr>
    </w:p>
    <w:p w:rsidR="00CB3533" w:rsidRDefault="00CB3533" w:rsidP="003309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445457" cy="2265529"/>
            <wp:effectExtent l="0" t="0" r="22225" b="209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2F6BDD" w:rsidRPr="00236F1C" w:rsidRDefault="00CB3533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236F1C" w:rsidRDefault="00CB3533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CB3533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CB3533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2F6BDD" w:rsidRDefault="002F6BDD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0F5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95A"/>
    <w:rsid w:val="00076D43"/>
    <w:rsid w:val="000929BF"/>
    <w:rsid w:val="000B7B25"/>
    <w:rsid w:val="000C6516"/>
    <w:rsid w:val="000F6164"/>
    <w:rsid w:val="00132E7E"/>
    <w:rsid w:val="00176203"/>
    <w:rsid w:val="001A2DA3"/>
    <w:rsid w:val="001B5425"/>
    <w:rsid w:val="001C2BFD"/>
    <w:rsid w:val="00203AC7"/>
    <w:rsid w:val="00251885"/>
    <w:rsid w:val="00254934"/>
    <w:rsid w:val="00282929"/>
    <w:rsid w:val="002F2699"/>
    <w:rsid w:val="002F6BDD"/>
    <w:rsid w:val="0033095A"/>
    <w:rsid w:val="00396CF2"/>
    <w:rsid w:val="00481BA8"/>
    <w:rsid w:val="00494042"/>
    <w:rsid w:val="00496D52"/>
    <w:rsid w:val="004C29A0"/>
    <w:rsid w:val="004F7B41"/>
    <w:rsid w:val="005A5287"/>
    <w:rsid w:val="006A2455"/>
    <w:rsid w:val="00840C2F"/>
    <w:rsid w:val="00873F82"/>
    <w:rsid w:val="008F193C"/>
    <w:rsid w:val="008F51BA"/>
    <w:rsid w:val="009D224F"/>
    <w:rsid w:val="009F10F5"/>
    <w:rsid w:val="00A239C1"/>
    <w:rsid w:val="00A9587E"/>
    <w:rsid w:val="00AA3250"/>
    <w:rsid w:val="00AB7092"/>
    <w:rsid w:val="00AE09EB"/>
    <w:rsid w:val="00B26819"/>
    <w:rsid w:val="00B43394"/>
    <w:rsid w:val="00B62622"/>
    <w:rsid w:val="00BA70BF"/>
    <w:rsid w:val="00C032A1"/>
    <w:rsid w:val="00C12CBA"/>
    <w:rsid w:val="00C8391D"/>
    <w:rsid w:val="00CA2440"/>
    <w:rsid w:val="00CB3533"/>
    <w:rsid w:val="00CC396B"/>
    <w:rsid w:val="00CF4EA1"/>
    <w:rsid w:val="00D04A65"/>
    <w:rsid w:val="00D10101"/>
    <w:rsid w:val="00D61FD2"/>
    <w:rsid w:val="00D702A7"/>
    <w:rsid w:val="00E34B79"/>
    <w:rsid w:val="00EE3AF8"/>
    <w:rsid w:val="00F5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M.ED.1ST.SEM!$A$132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M.ED.1ST.SEM!$B$131:$F$131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M.ED.1ST.SEM!$B$132:$F$132</c:f>
              <c:numCache>
                <c:formatCode>0</c:formatCode>
                <c:ptCount val="5"/>
                <c:pt idx="0">
                  <c:v>7.9365079365079358</c:v>
                </c:pt>
                <c:pt idx="1">
                  <c:v>12.698412698412699</c:v>
                </c:pt>
                <c:pt idx="2">
                  <c:v>11.111111111111098</c:v>
                </c:pt>
                <c:pt idx="3">
                  <c:v>12.698412698412699</c:v>
                </c:pt>
                <c:pt idx="4">
                  <c:v>14.285714285714286</c:v>
                </c:pt>
              </c:numCache>
            </c:numRef>
          </c:val>
        </c:ser>
        <c:ser>
          <c:idx val="1"/>
          <c:order val="1"/>
          <c:tx>
            <c:strRef>
              <c:f>M.ED.1ST.SEM!$A$133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M.ED.1ST.SEM!$B$131:$F$131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M.ED.1ST.SEM!$B$133:$F$133</c:f>
              <c:numCache>
                <c:formatCode>0</c:formatCode>
                <c:ptCount val="5"/>
                <c:pt idx="0">
                  <c:v>28.571428571428569</c:v>
                </c:pt>
                <c:pt idx="1">
                  <c:v>25.396825396825392</c:v>
                </c:pt>
                <c:pt idx="2">
                  <c:v>31.746031746031729</c:v>
                </c:pt>
                <c:pt idx="3">
                  <c:v>25.396825396825392</c:v>
                </c:pt>
                <c:pt idx="4">
                  <c:v>28.571428571428569</c:v>
                </c:pt>
              </c:numCache>
            </c:numRef>
          </c:val>
        </c:ser>
        <c:ser>
          <c:idx val="2"/>
          <c:order val="2"/>
          <c:tx>
            <c:strRef>
              <c:f>M.ED.1ST.SEM!$A$134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M.ED.1ST.SEM!$B$131:$F$131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M.ED.1ST.SEM!$B$134:$F$134</c:f>
              <c:numCache>
                <c:formatCode>0</c:formatCode>
                <c:ptCount val="5"/>
                <c:pt idx="0">
                  <c:v>38.095238095238102</c:v>
                </c:pt>
                <c:pt idx="1">
                  <c:v>34.920634920634917</c:v>
                </c:pt>
                <c:pt idx="2">
                  <c:v>34.920634920634917</c:v>
                </c:pt>
                <c:pt idx="3">
                  <c:v>28.571428571428569</c:v>
                </c:pt>
                <c:pt idx="4">
                  <c:v>30.158730158730144</c:v>
                </c:pt>
              </c:numCache>
            </c:numRef>
          </c:val>
        </c:ser>
        <c:ser>
          <c:idx val="3"/>
          <c:order val="3"/>
          <c:tx>
            <c:strRef>
              <c:f>M.ED.1ST.SEM!$A$135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M.ED.1ST.SEM!$B$131:$F$131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M.ED.1ST.SEM!$B$135:$F$135</c:f>
              <c:numCache>
                <c:formatCode>0</c:formatCode>
                <c:ptCount val="5"/>
                <c:pt idx="0">
                  <c:v>25.396825396825392</c:v>
                </c:pt>
                <c:pt idx="1">
                  <c:v>26.984126984126956</c:v>
                </c:pt>
                <c:pt idx="2">
                  <c:v>22.222222222222193</c:v>
                </c:pt>
                <c:pt idx="3">
                  <c:v>33.333333333333329</c:v>
                </c:pt>
                <c:pt idx="4">
                  <c:v>26.984126984126956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361600"/>
        <c:axId val="194375680"/>
        <c:axId val="0"/>
      </c:bar3DChart>
      <c:catAx>
        <c:axId val="19436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4375680"/>
        <c:crosses val="autoZero"/>
        <c:auto val="1"/>
        <c:lblAlgn val="ctr"/>
        <c:lblOffset val="100"/>
        <c:noMultiLvlLbl val="0"/>
      </c:catAx>
      <c:valAx>
        <c:axId val="19437568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4361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M.ED.1ST.SEM!$H$132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M.ED.1ST.SEM!$I$131:$M$131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M.ED.1ST.SEM!$I$132:$M$132</c:f>
              <c:numCache>
                <c:formatCode>0</c:formatCode>
                <c:ptCount val="5"/>
                <c:pt idx="0">
                  <c:v>2.0833333333333348</c:v>
                </c:pt>
                <c:pt idx="1">
                  <c:v>1.0416666666666659</c:v>
                </c:pt>
                <c:pt idx="2">
                  <c:v>1.0416666666666659</c:v>
                </c:pt>
                <c:pt idx="3">
                  <c:v>1.0416666666666659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M.ED.1ST.SEM!$H$133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M.ED.1ST.SEM!$I$131:$M$131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M.ED.1ST.SEM!$I$133:$M$133</c:f>
              <c:numCache>
                <c:formatCode>0</c:formatCode>
                <c:ptCount val="5"/>
                <c:pt idx="0">
                  <c:v>17.708333333333293</c:v>
                </c:pt>
                <c:pt idx="1">
                  <c:v>20.833333333333311</c:v>
                </c:pt>
                <c:pt idx="2">
                  <c:v>16.666666666666664</c:v>
                </c:pt>
                <c:pt idx="3">
                  <c:v>21.875</c:v>
                </c:pt>
                <c:pt idx="4">
                  <c:v>19.791666666666664</c:v>
                </c:pt>
              </c:numCache>
            </c:numRef>
          </c:val>
        </c:ser>
        <c:ser>
          <c:idx val="2"/>
          <c:order val="2"/>
          <c:tx>
            <c:strRef>
              <c:f>M.ED.1ST.SEM!$H$134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M.ED.1ST.SEM!$I$131:$M$131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M.ED.1ST.SEM!$I$134:$M$134</c:f>
              <c:numCache>
                <c:formatCode>0</c:formatCode>
                <c:ptCount val="5"/>
                <c:pt idx="0">
                  <c:v>43.75</c:v>
                </c:pt>
                <c:pt idx="1">
                  <c:v>41.666666666666615</c:v>
                </c:pt>
                <c:pt idx="2">
                  <c:v>43.75</c:v>
                </c:pt>
                <c:pt idx="3">
                  <c:v>43.75</c:v>
                </c:pt>
                <c:pt idx="4">
                  <c:v>40.625000000000028</c:v>
                </c:pt>
              </c:numCache>
            </c:numRef>
          </c:val>
        </c:ser>
        <c:ser>
          <c:idx val="3"/>
          <c:order val="3"/>
          <c:tx>
            <c:strRef>
              <c:f>M.ED.1ST.SEM!$H$135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M.ED.1ST.SEM!$I$131:$M$131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M.ED.1ST.SEM!$I$135:$M$135</c:f>
              <c:numCache>
                <c:formatCode>0</c:formatCode>
                <c:ptCount val="5"/>
                <c:pt idx="0">
                  <c:v>36.458333333333329</c:v>
                </c:pt>
                <c:pt idx="1">
                  <c:v>36.458333333333329</c:v>
                </c:pt>
                <c:pt idx="2">
                  <c:v>38.541666666666586</c:v>
                </c:pt>
                <c:pt idx="3">
                  <c:v>33.333333333333329</c:v>
                </c:pt>
                <c:pt idx="4">
                  <c:v>39.583333333333329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539904"/>
        <c:axId val="194541440"/>
        <c:axId val="0"/>
      </c:bar3DChart>
      <c:catAx>
        <c:axId val="194539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4541440"/>
        <c:crosses val="autoZero"/>
        <c:auto val="1"/>
        <c:lblAlgn val="ctr"/>
        <c:lblOffset val="100"/>
        <c:noMultiLvlLbl val="0"/>
      </c:catAx>
      <c:valAx>
        <c:axId val="19454144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4539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M.ED.1ST.SEM!$O$125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M.ED.1ST.SEM!$P$124:$T$124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M.ED.1ST.SEM!$P$125:$T$125</c:f>
              <c:numCache>
                <c:formatCode>General</c:formatCode>
                <c:ptCount val="5"/>
                <c:pt idx="0" formatCode="0">
                  <c:v>8.3333333333333321</c:v>
                </c:pt>
                <c:pt idx="1">
                  <c:v>4</c:v>
                </c:pt>
                <c:pt idx="2" formatCode="0">
                  <c:v>4.1666666666666661</c:v>
                </c:pt>
                <c:pt idx="3" formatCode="0">
                  <c:v>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M.ED.1ST.SEM!$O$126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M.ED.1ST.SEM!$P$124:$T$124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M.ED.1ST.SEM!$P$126:$T$126</c:f>
              <c:numCache>
                <c:formatCode>General</c:formatCode>
                <c:ptCount val="5"/>
                <c:pt idx="0" formatCode="0">
                  <c:v>16.666666666666664</c:v>
                </c:pt>
                <c:pt idx="1">
                  <c:v>16</c:v>
                </c:pt>
                <c:pt idx="2" formatCode="0">
                  <c:v>20.833333333333311</c:v>
                </c:pt>
                <c:pt idx="3" formatCode="0">
                  <c:v>24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M.ED.1ST.SEM!$O$127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M.ED.1ST.SEM!$P$124:$T$124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M.ED.1ST.SEM!$P$127:$T$127</c:f>
              <c:numCache>
                <c:formatCode>General</c:formatCode>
                <c:ptCount val="5"/>
                <c:pt idx="0" formatCode="0">
                  <c:v>50</c:v>
                </c:pt>
                <c:pt idx="1">
                  <c:v>56.000000000000007</c:v>
                </c:pt>
                <c:pt idx="2" formatCode="0">
                  <c:v>41.666666666666615</c:v>
                </c:pt>
                <c:pt idx="3" formatCode="0">
                  <c:v>32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M.ED.1ST.SEM!$O$128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M.ED.1ST.SEM!$P$124:$T$124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M.ED.1ST.SEM!$P$128:$T$128</c:f>
              <c:numCache>
                <c:formatCode>General</c:formatCode>
                <c:ptCount val="5"/>
                <c:pt idx="0" formatCode="0">
                  <c:v>25</c:v>
                </c:pt>
                <c:pt idx="1">
                  <c:v>24</c:v>
                </c:pt>
                <c:pt idx="2" formatCode="0">
                  <c:v>33.333333333333329</c:v>
                </c:pt>
                <c:pt idx="3" formatCode="0">
                  <c:v>36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182912"/>
        <c:axId val="234295296"/>
        <c:axId val="0"/>
      </c:bar3DChart>
      <c:catAx>
        <c:axId val="234182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4295296"/>
        <c:crosses val="autoZero"/>
        <c:auto val="1"/>
        <c:lblAlgn val="ctr"/>
        <c:lblOffset val="100"/>
        <c:noMultiLvlLbl val="0"/>
      </c:catAx>
      <c:valAx>
        <c:axId val="23429529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4182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M.ED.1ST.SEM!$V$123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M.ED.1ST.SEM!$W$122:$AA$122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M.ED.1ST.SEM!$W$123:$AA$123</c:f>
              <c:numCache>
                <c:formatCode>0</c:formatCode>
                <c:ptCount val="5"/>
                <c:pt idx="0">
                  <c:v>4.5454545454545459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4.5454545454545459</c:v>
                </c:pt>
              </c:numCache>
            </c:numRef>
          </c:val>
        </c:ser>
        <c:ser>
          <c:idx val="1"/>
          <c:order val="1"/>
          <c:tx>
            <c:strRef>
              <c:f>M.ED.1ST.SEM!$V$124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M.ED.1ST.SEM!$W$122:$AA$122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M.ED.1ST.SEM!$W$124:$AA$124</c:f>
              <c:numCache>
                <c:formatCode>0</c:formatCode>
                <c:ptCount val="5"/>
                <c:pt idx="0">
                  <c:v>13.636363636363635</c:v>
                </c:pt>
                <c:pt idx="1">
                  <c:v>13.636363636363635</c:v>
                </c:pt>
                <c:pt idx="2">
                  <c:v>18.181818181818201</c:v>
                </c:pt>
                <c:pt idx="3">
                  <c:v>22.72727272727273</c:v>
                </c:pt>
                <c:pt idx="4">
                  <c:v>18.181818181818201</c:v>
                </c:pt>
              </c:numCache>
            </c:numRef>
          </c:val>
        </c:ser>
        <c:ser>
          <c:idx val="2"/>
          <c:order val="2"/>
          <c:tx>
            <c:strRef>
              <c:f>M.ED.1ST.SEM!$V$125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M.ED.1ST.SEM!$W$122:$AA$122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M.ED.1ST.SEM!$W$125:$AA$125</c:f>
              <c:numCache>
                <c:formatCode>0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40.909090909090914</c:v>
                </c:pt>
                <c:pt idx="3">
                  <c:v>36.363636363636317</c:v>
                </c:pt>
                <c:pt idx="4">
                  <c:v>31.818181818181817</c:v>
                </c:pt>
              </c:numCache>
            </c:numRef>
          </c:val>
        </c:ser>
        <c:ser>
          <c:idx val="3"/>
          <c:order val="3"/>
          <c:tx>
            <c:strRef>
              <c:f>M.ED.1ST.SEM!$V$126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M.ED.1ST.SEM!$W$122:$AA$122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M.ED.1ST.SEM!$W$126:$AA$126</c:f>
              <c:numCache>
                <c:formatCode>0</c:formatCode>
                <c:ptCount val="5"/>
                <c:pt idx="0">
                  <c:v>31.818181818181817</c:v>
                </c:pt>
                <c:pt idx="1">
                  <c:v>36.363636363636317</c:v>
                </c:pt>
                <c:pt idx="2">
                  <c:v>40.909090909090914</c:v>
                </c:pt>
                <c:pt idx="3">
                  <c:v>40.909090909090914</c:v>
                </c:pt>
                <c:pt idx="4">
                  <c:v>45.454545454545404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160512"/>
        <c:axId val="234162048"/>
        <c:axId val="0"/>
      </c:bar3DChart>
      <c:catAx>
        <c:axId val="234160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4162048"/>
        <c:crosses val="autoZero"/>
        <c:auto val="1"/>
        <c:lblAlgn val="ctr"/>
        <c:lblOffset val="100"/>
        <c:noMultiLvlLbl val="0"/>
      </c:catAx>
      <c:valAx>
        <c:axId val="23416204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4160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lang="en-US"/>
          </a:pPr>
          <a:endParaRPr lang="en-U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M.ED.1ST.SEM!$AD$122</c:f>
              <c:strCache>
                <c:ptCount val="1"/>
                <c:pt idx="0">
                  <c:v>Sub1</c:v>
                </c:pt>
              </c:strCache>
            </c:strRef>
          </c:tx>
          <c:invertIfNegative val="0"/>
          <c:cat>
            <c:strRef>
              <c:f>M.ED.1ST.SEM!$AC$123:$AC$126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M.ED.1ST.SEM!$AD$123:$AD$126</c:f>
              <c:numCache>
                <c:formatCode>0</c:formatCode>
                <c:ptCount val="4"/>
                <c:pt idx="0">
                  <c:v>0</c:v>
                </c:pt>
                <c:pt idx="1">
                  <c:v>2.7027027027027044</c:v>
                </c:pt>
                <c:pt idx="2">
                  <c:v>37.837837837837824</c:v>
                </c:pt>
                <c:pt idx="3">
                  <c:v>59.459459459459417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726144"/>
        <c:axId val="234405888"/>
        <c:axId val="0"/>
      </c:bar3DChart>
      <c:catAx>
        <c:axId val="194726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4405888"/>
        <c:crosses val="autoZero"/>
        <c:auto val="1"/>
        <c:lblAlgn val="ctr"/>
        <c:lblOffset val="100"/>
        <c:noMultiLvlLbl val="0"/>
      </c:catAx>
      <c:valAx>
        <c:axId val="23440588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947261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5</cp:revision>
  <dcterms:created xsi:type="dcterms:W3CDTF">2018-06-07T06:33:00Z</dcterms:created>
  <dcterms:modified xsi:type="dcterms:W3CDTF">2018-10-16T10:46:00Z</dcterms:modified>
</cp:coreProperties>
</file>