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</w:t>
      </w:r>
      <w:r w:rsidR="0035319C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proofErr w:type="gramStart"/>
      <w:r w:rsidR="0035319C" w:rsidRPr="003531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proofErr w:type="gramEnd"/>
      <w:r w:rsidR="00FC5C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C5C10">
        <w:rPr>
          <w:rFonts w:ascii="Times New Roman" w:hAnsi="Times New Roman" w:cs="Times New Roman"/>
          <w:b/>
          <w:sz w:val="24"/>
          <w:szCs w:val="24"/>
        </w:rPr>
        <w:t>D</w:t>
      </w:r>
      <w:r w:rsidR="0035319C">
        <w:rPr>
          <w:rFonts w:ascii="Times New Roman" w:hAnsi="Times New Roman" w:cs="Times New Roman"/>
          <w:b/>
          <w:sz w:val="24"/>
          <w:szCs w:val="24"/>
        </w:rPr>
        <w:t>ramactics</w:t>
      </w:r>
      <w:proofErr w:type="spellEnd"/>
      <w:r w:rsidR="0035319C">
        <w:rPr>
          <w:rFonts w:ascii="Times New Roman" w:hAnsi="Times New Roman" w:cs="Times New Roman"/>
          <w:b/>
          <w:sz w:val="24"/>
          <w:szCs w:val="24"/>
        </w:rPr>
        <w:t xml:space="preserve"> B.D.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35319C" w:rsidP="0035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35319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35319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35319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35319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5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35319C" w:rsidRPr="001A2DA3" w:rsidTr="001A2DA3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19C" w:rsidRPr="001A2DA3" w:rsidRDefault="0035319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5319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19C" w:rsidRPr="001A2DA3" w:rsidRDefault="0035319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35319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19C" w:rsidRPr="001A2DA3" w:rsidRDefault="0035319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35319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19C" w:rsidRPr="001A2DA3" w:rsidRDefault="0035319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5319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19C" w:rsidRPr="001A2DA3" w:rsidRDefault="0035319C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9C" w:rsidRDefault="00353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5319C" w:rsidP="0035319C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31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</w:t>
      </w:r>
      <w:r w:rsidR="0035319C">
        <w:rPr>
          <w:b/>
          <w:noProof/>
          <w:sz w:val="24"/>
          <w:szCs w:val="24"/>
          <w:lang w:val="en-IN" w:eastAsia="en-IN"/>
        </w:rPr>
        <w:t xml:space="preserve">m Feedback: </w:t>
      </w:r>
      <w:r w:rsidR="0035319C"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CA48CF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873F82" w:rsidRPr="00236F1C" w:rsidRDefault="0071699C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Pr="0071699C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169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Pr="0071699C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71699C" w:rsidP="0071699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7169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Pr="0035319C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15BB" w:rsidRDefault="00873F82" w:rsidP="001915BB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 w:rsidR="00150041"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150041"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CA48CF">
        <w:rPr>
          <w:b/>
          <w:noProof/>
          <w:color w:val="FF0000"/>
          <w:sz w:val="24"/>
          <w:szCs w:val="24"/>
          <w:lang w:val="en-IN" w:eastAsia="en-IN"/>
        </w:rPr>
        <w:t xml:space="preserve">  </w:t>
      </w:r>
    </w:p>
    <w:p w:rsidR="0033095A" w:rsidRPr="00236F1C" w:rsidRDefault="00CE0C1D" w:rsidP="0019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CE0C1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CE0C1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CE0C1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915BB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5A60E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5A60EE"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CA48CF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236F1C" w:rsidRDefault="005A60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3F82">
        <w:rPr>
          <w:rFonts w:ascii="Times New Roman" w:hAnsi="Times New Roman" w:cs="Times New Roman"/>
          <w:sz w:val="24"/>
          <w:szCs w:val="24"/>
        </w:rPr>
        <w:t>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5A60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5A60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5A60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BB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B3366E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B3366E">
        <w:rPr>
          <w:b/>
          <w:noProof/>
          <w:color w:val="FF0000"/>
          <w:sz w:val="24"/>
          <w:szCs w:val="24"/>
          <w:lang w:val="en-IN" w:eastAsia="en-IN"/>
        </w:rPr>
        <w:t>4</w:t>
      </w:r>
      <w:r w:rsidR="00CA48CF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236F1C" w:rsidRDefault="00B3366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B3366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3366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3366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915BB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5D1A5C"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5D1A5C">
        <w:rPr>
          <w:b/>
          <w:noProof/>
          <w:color w:val="FF0000"/>
          <w:sz w:val="24"/>
          <w:szCs w:val="24"/>
          <w:lang w:val="en-IN" w:eastAsia="en-IN"/>
        </w:rPr>
        <w:t>5</w:t>
      </w:r>
    </w:p>
    <w:p w:rsidR="0033095A" w:rsidRPr="00236F1C" w:rsidRDefault="005D1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5D1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5D1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5D1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150041"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>
        <w:rPr>
          <w:b/>
          <w:noProof/>
          <w:color w:val="FF0000"/>
          <w:sz w:val="24"/>
          <w:szCs w:val="24"/>
          <w:lang w:val="en-IN" w:eastAsia="en-IN"/>
        </w:rPr>
        <w:t>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C03889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students’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BB3356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14" w:type="dxa"/>
        <w:tblInd w:w="98" w:type="dxa"/>
        <w:tblLook w:val="04A0" w:firstRow="1" w:lastRow="0" w:firstColumn="1" w:lastColumn="0" w:noHBand="0" w:noVBand="1"/>
      </w:tblPr>
      <w:tblGrid>
        <w:gridCol w:w="874"/>
        <w:gridCol w:w="837"/>
        <w:gridCol w:w="911"/>
        <w:gridCol w:w="932"/>
        <w:gridCol w:w="816"/>
        <w:gridCol w:w="885"/>
        <w:gridCol w:w="863"/>
        <w:gridCol w:w="838"/>
        <w:gridCol w:w="910"/>
        <w:gridCol w:w="933"/>
        <w:gridCol w:w="815"/>
      </w:tblGrid>
      <w:tr w:rsidR="00BA70BF" w:rsidRPr="00BA70BF" w:rsidTr="00BA70BF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3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Sub 4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5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90024D" w:rsidRPr="00BA70BF" w:rsidTr="00043CF6">
        <w:trPr>
          <w:trHeight w:val="4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24D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90024D" w:rsidRPr="00BA70BF" w:rsidTr="00043CF6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24D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90024D" w:rsidRPr="00BA70BF" w:rsidTr="00043CF6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24D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90024D" w:rsidRPr="00BA70BF" w:rsidTr="00043CF6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24D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0024D" w:rsidRPr="00BA70BF" w:rsidTr="00043CF6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24D" w:rsidRPr="00BA70BF" w:rsidRDefault="0090024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24D" w:rsidRDefault="0090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2622" w:rsidRDefault="0090024D" w:rsidP="0090024D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90024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915BB" w:rsidRDefault="0090024D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</w:pPr>
      <w:r w:rsidRPr="004D46EC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Sub 1</w:t>
      </w:r>
    </w:p>
    <w:p w:rsidR="0033095A" w:rsidRPr="00BA70BF" w:rsidRDefault="0090024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90024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90024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90024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15BB" w:rsidRDefault="004D46EC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 xml:space="preserve">Sub 2 </w:t>
      </w:r>
    </w:p>
    <w:p w:rsidR="0033095A" w:rsidRPr="00D549BA" w:rsidRDefault="004D46E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4D46E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4D46E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4D46E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915BB" w:rsidRDefault="0002156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proofErr w:type="gramStart"/>
      <w:r w:rsidRPr="00021564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sub</w:t>
      </w:r>
      <w:proofErr w:type="gramEnd"/>
      <w:r w:rsidRPr="00021564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3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282929" w:rsidRPr="00D549BA" w:rsidRDefault="0028292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564">
        <w:rPr>
          <w:rFonts w:ascii="Times New Roman" w:hAnsi="Times New Roman" w:cs="Times New Roman"/>
          <w:sz w:val="24"/>
          <w:szCs w:val="24"/>
        </w:rPr>
        <w:t>1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F0656F">
        <w:rPr>
          <w:rFonts w:ascii="Times New Roman" w:hAnsi="Times New Roman" w:cs="Times New Roman"/>
          <w:color w:val="FF0000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02156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02156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02156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6F" w:rsidRDefault="00F0656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1915BB" w:rsidRDefault="00F0656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</w:pPr>
      <w:r w:rsidRPr="00F0656F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Sub 4</w:t>
      </w:r>
    </w:p>
    <w:p w:rsidR="0033095A" w:rsidRPr="00D549BA" w:rsidRDefault="00F0656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F0656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F0656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F0656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F0656F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F0656F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915BB" w:rsidRDefault="00A20C92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A20C92">
        <w:rPr>
          <w:b/>
          <w:noProof/>
          <w:color w:val="FF0000"/>
          <w:sz w:val="24"/>
          <w:szCs w:val="24"/>
          <w:lang w:val="en-IN" w:eastAsia="en-IN"/>
        </w:rPr>
        <w:t>Sub 5</w:t>
      </w:r>
    </w:p>
    <w:p w:rsidR="0033095A" w:rsidRPr="00D549BA" w:rsidRDefault="00A20C9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A20C92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A20C9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A20C92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96CF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92">
        <w:rPr>
          <w:rFonts w:ascii="Times New Roman" w:hAnsi="Times New Roman" w:cs="Times New Roman"/>
          <w:sz w:val="24"/>
          <w:szCs w:val="24"/>
        </w:rPr>
        <w:t>51%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33095A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A20C92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A20C9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33095A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9" w:rsidRPr="00A20C92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A20C92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B4AB3" w:rsidRDefault="003B4AB3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D0A" w:rsidRDefault="00A94D0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D0A" w:rsidRDefault="00A94D0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D0A" w:rsidRDefault="00A94D0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B3" w:rsidRDefault="003B4AB3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10186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1C2BFD" w:rsidRPr="001C2BFD" w:rsidTr="001C2BFD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5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3B4AB3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AB3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B4AB3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AB3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3B4AB3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AB3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B4AB3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AB3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4AB3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AB3" w:rsidRPr="001C2BFD" w:rsidRDefault="003B4AB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B3" w:rsidRDefault="003B4A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B4AB3" w:rsidP="003B4AB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3B4AB3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96D39" w:rsidRDefault="00C96D39" w:rsidP="00C96D39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</w:p>
    <w:p w:rsidR="00C96D39" w:rsidRDefault="00C96D39" w:rsidP="00C96D39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</w:p>
    <w:p w:rsidR="00C96D39" w:rsidRPr="00C96D39" w:rsidRDefault="00C96D39" w:rsidP="00C96D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C96D3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96D39" w:rsidRDefault="00C96D39" w:rsidP="00C96D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C96D39" w:rsidRDefault="00C96D39" w:rsidP="00C96D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54%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C96D39" w:rsidRDefault="00C96D39" w:rsidP="00C96D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="0033095A" w:rsidRPr="00C96D39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C96D39">
        <w:rPr>
          <w:b/>
          <w:noProof/>
          <w:color w:val="FF0000"/>
          <w:sz w:val="24"/>
          <w:szCs w:val="24"/>
          <w:lang w:val="en-IN" w:eastAsia="en-IN"/>
        </w:rPr>
        <w:t>Sub 1</w:t>
      </w:r>
      <w:r w:rsidR="0033095A" w:rsidRPr="00C96D39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6D39" w:rsidRDefault="00C96D39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96D39" w:rsidRDefault="00C96D39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96D39" w:rsidRDefault="00C96D39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96D39" w:rsidRDefault="00C96D39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73440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A73440">
        <w:rPr>
          <w:b/>
          <w:noProof/>
          <w:color w:val="FF0000"/>
          <w:sz w:val="24"/>
          <w:szCs w:val="24"/>
          <w:lang w:val="en-IN" w:eastAsia="en-IN"/>
        </w:rPr>
        <w:t>Sub 2</w:t>
      </w:r>
    </w:p>
    <w:p w:rsidR="00A73440" w:rsidRPr="00A73440" w:rsidRDefault="00A73440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95A" w:rsidRPr="00236F1C" w:rsidRDefault="00A73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A73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73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73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A73440">
        <w:rPr>
          <w:rFonts w:ascii="Times New Roman" w:hAnsi="Times New Roman" w:cs="Times New Roman"/>
          <w:color w:val="FF0000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057C33" w:rsidRDefault="00057C33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C33">
        <w:rPr>
          <w:b/>
          <w:noProof/>
          <w:color w:val="FF0000"/>
          <w:sz w:val="24"/>
          <w:szCs w:val="24"/>
          <w:lang w:val="en-IN" w:eastAsia="en-IN"/>
        </w:rPr>
        <w:t>Sub 3</w:t>
      </w:r>
    </w:p>
    <w:p w:rsidR="0033095A" w:rsidRPr="00236F1C" w:rsidRDefault="00057C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Pr="002B31B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57C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B31B3"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057C33" w:rsidRDefault="00057C33" w:rsidP="00057C3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B31B3"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057C33" w:rsidRDefault="00057C33" w:rsidP="00057C3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3">
        <w:rPr>
          <w:rFonts w:ascii="Times New Roman" w:hAnsi="Times New Roman" w:cs="Times New Roman"/>
          <w:sz w:val="24"/>
          <w:szCs w:val="24"/>
        </w:rPr>
        <w:t xml:space="preserve">34% </w:t>
      </w:r>
      <w:r w:rsidR="0033095A" w:rsidRPr="00057C33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2B31B3" w:rsidRPr="002B31B3">
        <w:rPr>
          <w:rFonts w:ascii="Times New Roman" w:hAnsi="Times New Roman" w:cs="Times New Roman"/>
          <w:color w:val="FF0000"/>
          <w:sz w:val="24"/>
          <w:szCs w:val="24"/>
        </w:rPr>
        <w:t>Sub 3</w:t>
      </w:r>
      <w:r w:rsidR="0033095A" w:rsidRPr="00057C3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FB52B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1B3">
        <w:rPr>
          <w:rFonts w:ascii="Times New Roman" w:hAnsi="Times New Roman" w:cs="Times New Roman"/>
          <w:color w:val="FF0000"/>
          <w:sz w:val="24"/>
          <w:szCs w:val="24"/>
        </w:rPr>
        <w:t xml:space="preserve">Sub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33095A" w:rsidRPr="00236F1C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 xml:space="preserve"> 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 xml:space="preserve"> 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FB52BA" w:rsidRDefault="00FB52B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52BA">
        <w:rPr>
          <w:b/>
          <w:noProof/>
          <w:color w:val="FF0000"/>
          <w:sz w:val="24"/>
          <w:szCs w:val="24"/>
          <w:lang w:val="en-IN" w:eastAsia="en-IN"/>
        </w:rPr>
        <w:t>Sub 5</w:t>
      </w:r>
    </w:p>
    <w:p w:rsidR="0033095A" w:rsidRPr="00236F1C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>Sub 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43394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>Sub 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>Sub 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95610E" w:rsidRDefault="00FB52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FB52BA">
        <w:rPr>
          <w:rFonts w:ascii="Times New Roman" w:hAnsi="Times New Roman" w:cs="Times New Roman"/>
          <w:color w:val="FF0000"/>
          <w:sz w:val="24"/>
          <w:szCs w:val="24"/>
        </w:rPr>
        <w:t>Sub 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P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0E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Pr="00636C35" w:rsidRDefault="0095610E" w:rsidP="00956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95610E" w:rsidRDefault="0095610E" w:rsidP="0095610E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10E" w:rsidRDefault="0095610E" w:rsidP="0095610E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would recommend the course to others</w:t>
      </w:r>
    </w:p>
    <w:p w:rsidR="0095610E" w:rsidRPr="0095610E" w:rsidRDefault="0095610E" w:rsidP="0095610E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95610E" w:rsidRDefault="0095610E" w:rsidP="0095610E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610E" w:rsidRPr="0095610E" w:rsidRDefault="0095610E" w:rsidP="0095610E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3"/>
        <w:gridCol w:w="1229"/>
        <w:gridCol w:w="1256"/>
      </w:tblGrid>
      <w:tr w:rsidR="0095610E" w:rsidRPr="008E14C5" w:rsidTr="004943CF">
        <w:trPr>
          <w:trHeight w:val="31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5610E" w:rsidRPr="008E14C5" w:rsidRDefault="0095610E" w:rsidP="00494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8E14C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Subject 1 : Overall</w:t>
            </w:r>
          </w:p>
        </w:tc>
      </w:tr>
      <w:tr w:rsidR="0095610E" w:rsidRPr="008E14C5" w:rsidTr="004943CF">
        <w:trPr>
          <w:trHeight w:val="645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95610E" w:rsidRPr="008E14C5" w:rsidTr="002A28E8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95610E" w:rsidRPr="008E14C5" w:rsidTr="002A28E8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95610E" w:rsidRPr="008E14C5" w:rsidTr="002A28E8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95610E" w:rsidRPr="008E14C5" w:rsidTr="002A28E8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95610E" w:rsidRPr="008E14C5" w:rsidTr="002A28E8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610E" w:rsidRPr="008E14C5" w:rsidRDefault="0095610E" w:rsidP="004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10E" w:rsidRDefault="009561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5610E" w:rsidRDefault="0095610E" w:rsidP="0095610E"/>
    <w:p w:rsidR="00394384" w:rsidRDefault="00394384" w:rsidP="00394384">
      <w:pPr>
        <w:jc w:val="center"/>
      </w:pPr>
      <w:r w:rsidRPr="00394384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4384" w:rsidRDefault="00394384" w:rsidP="0095610E"/>
    <w:p w:rsidR="0095610E" w:rsidRPr="005A2D97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14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Pr="005A2D9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5610E" w:rsidRPr="005D122D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19</w:t>
      </w:r>
      <w:r w:rsidRPr="005D122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D122D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Pr="005D122D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Pr="005D122D">
        <w:rPr>
          <w:rFonts w:ascii="Times New Roman" w:hAnsi="Times New Roman" w:cs="Times New Roman"/>
          <w:sz w:val="24"/>
          <w:szCs w:val="24"/>
        </w:rPr>
        <w:t xml:space="preserve"> Outstanding</w:t>
      </w:r>
      <w:r w:rsidRPr="005D122D">
        <w:rPr>
          <w:rFonts w:ascii="Times New Roman" w:hAnsi="Times New Roman" w:cs="Times New Roman"/>
          <w:b/>
          <w:sz w:val="24"/>
          <w:szCs w:val="24"/>
        </w:rPr>
        <w:t>.</w:t>
      </w:r>
    </w:p>
    <w:p w:rsidR="0095610E" w:rsidRPr="005A2D97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52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 </w:t>
      </w:r>
      <w:r w:rsidRPr="005A2D9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  <w:r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0E" w:rsidRPr="000C48FA" w:rsidRDefault="0095610E" w:rsidP="009561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14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Pr="005A2D97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  <w:r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0E" w:rsidRDefault="0095610E" w:rsidP="0095610E"/>
    <w:p w:rsidR="0095610E" w:rsidRPr="00236F1C" w:rsidRDefault="0095610E" w:rsidP="0095610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C58"/>
    <w:multiLevelType w:val="hybridMultilevel"/>
    <w:tmpl w:val="9ADED9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162E"/>
    <w:multiLevelType w:val="hybridMultilevel"/>
    <w:tmpl w:val="2CD2C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27AFC"/>
    <w:multiLevelType w:val="hybridMultilevel"/>
    <w:tmpl w:val="C72C810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21564"/>
    <w:rsid w:val="000567FD"/>
    <w:rsid w:val="00057C33"/>
    <w:rsid w:val="00076D43"/>
    <w:rsid w:val="000C6516"/>
    <w:rsid w:val="00150041"/>
    <w:rsid w:val="001724D4"/>
    <w:rsid w:val="00176203"/>
    <w:rsid w:val="001915BB"/>
    <w:rsid w:val="001A2DA3"/>
    <w:rsid w:val="001C2BFD"/>
    <w:rsid w:val="00203AC7"/>
    <w:rsid w:val="00207034"/>
    <w:rsid w:val="00254934"/>
    <w:rsid w:val="00282929"/>
    <w:rsid w:val="002B31B3"/>
    <w:rsid w:val="002F6BDD"/>
    <w:rsid w:val="0033095A"/>
    <w:rsid w:val="0035319C"/>
    <w:rsid w:val="00394384"/>
    <w:rsid w:val="00396CF2"/>
    <w:rsid w:val="003B4AB3"/>
    <w:rsid w:val="003C5D22"/>
    <w:rsid w:val="00496D52"/>
    <w:rsid w:val="004D46EC"/>
    <w:rsid w:val="005A60EE"/>
    <w:rsid w:val="005D1A5C"/>
    <w:rsid w:val="0071699C"/>
    <w:rsid w:val="00797D6F"/>
    <w:rsid w:val="007E15ED"/>
    <w:rsid w:val="00865F63"/>
    <w:rsid w:val="00873F82"/>
    <w:rsid w:val="008A2CD4"/>
    <w:rsid w:val="008F193C"/>
    <w:rsid w:val="008F51BA"/>
    <w:rsid w:val="0090024D"/>
    <w:rsid w:val="0095610E"/>
    <w:rsid w:val="009F10F5"/>
    <w:rsid w:val="00A20C92"/>
    <w:rsid w:val="00A73440"/>
    <w:rsid w:val="00A94D0A"/>
    <w:rsid w:val="00AA3250"/>
    <w:rsid w:val="00AE09EB"/>
    <w:rsid w:val="00AE24BE"/>
    <w:rsid w:val="00B3366E"/>
    <w:rsid w:val="00B43394"/>
    <w:rsid w:val="00B62622"/>
    <w:rsid w:val="00BA70BF"/>
    <w:rsid w:val="00BB3356"/>
    <w:rsid w:val="00C032A1"/>
    <w:rsid w:val="00C03889"/>
    <w:rsid w:val="00C12CBA"/>
    <w:rsid w:val="00C712AF"/>
    <w:rsid w:val="00C96D39"/>
    <w:rsid w:val="00CA2440"/>
    <w:rsid w:val="00CA48CF"/>
    <w:rsid w:val="00CD04ED"/>
    <w:rsid w:val="00CE0C1D"/>
    <w:rsid w:val="00CF4EA1"/>
    <w:rsid w:val="00D10101"/>
    <w:rsid w:val="00D61FD2"/>
    <w:rsid w:val="00D702A7"/>
    <w:rsid w:val="00D844FD"/>
    <w:rsid w:val="00D91960"/>
    <w:rsid w:val="00DA256C"/>
    <w:rsid w:val="00DE6D82"/>
    <w:rsid w:val="00E34238"/>
    <w:rsid w:val="00E34B79"/>
    <w:rsid w:val="00F0656F"/>
    <w:rsid w:val="00F51018"/>
    <w:rsid w:val="00FB52BA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english%20Osmanab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Sheet2!$A$19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Sheet2!$B$18:$F$18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Sheet2!$B$19:$F$19</c:f>
              <c:numCache>
                <c:formatCode>0</c:formatCode>
                <c:ptCount val="5"/>
                <c:pt idx="0">
                  <c:v>21.666666666666668</c:v>
                </c:pt>
                <c:pt idx="1">
                  <c:v>25.806451612903224</c:v>
                </c:pt>
                <c:pt idx="2">
                  <c:v>33.333333333333329</c:v>
                </c:pt>
                <c:pt idx="3">
                  <c:v>21.666666666666668</c:v>
                </c:pt>
                <c:pt idx="4">
                  <c:v>29.166666666666668</c:v>
                </c:pt>
              </c:numCache>
            </c:numRef>
          </c:val>
        </c:ser>
        <c:ser>
          <c:idx val="1"/>
          <c:order val="1"/>
          <c:tx>
            <c:strRef>
              <c:f>Sheet2!$A$20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Sheet2!$B$18:$F$18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Sheet2!$B$20:$F$20</c:f>
              <c:numCache>
                <c:formatCode>0</c:formatCode>
                <c:ptCount val="5"/>
                <c:pt idx="0">
                  <c:v>45</c:v>
                </c:pt>
                <c:pt idx="1">
                  <c:v>41.935483870967751</c:v>
                </c:pt>
                <c:pt idx="2">
                  <c:v>39.682539682539776</c:v>
                </c:pt>
                <c:pt idx="3">
                  <c:v>48.333333333333336</c:v>
                </c:pt>
                <c:pt idx="4">
                  <c:v>43.75</c:v>
                </c:pt>
              </c:numCache>
            </c:numRef>
          </c:val>
        </c:ser>
        <c:ser>
          <c:idx val="2"/>
          <c:order val="2"/>
          <c:tx>
            <c:strRef>
              <c:f>Sheet2!$A$21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Sheet2!$B$18:$F$18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Sheet2!$B$21:$F$21</c:f>
              <c:numCache>
                <c:formatCode>0</c:formatCode>
                <c:ptCount val="5"/>
                <c:pt idx="0">
                  <c:v>28.333333333333275</c:v>
                </c:pt>
                <c:pt idx="1">
                  <c:v>25.806451612903224</c:v>
                </c:pt>
                <c:pt idx="2">
                  <c:v>17.460317460317459</c:v>
                </c:pt>
                <c:pt idx="3">
                  <c:v>26.666666666666668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Sheet2!$A$22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Sheet2!$B$18:$F$18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Sheet2!$B$22:$F$22</c:f>
              <c:numCache>
                <c:formatCode>0</c:formatCode>
                <c:ptCount val="5"/>
                <c:pt idx="0">
                  <c:v>5</c:v>
                </c:pt>
                <c:pt idx="1">
                  <c:v>6.4516129032258114</c:v>
                </c:pt>
                <c:pt idx="2">
                  <c:v>9.5238095238095237</c:v>
                </c:pt>
                <c:pt idx="3">
                  <c:v>3.3333333333333335</c:v>
                </c:pt>
                <c:pt idx="4">
                  <c:v>2.083333333333337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941760"/>
        <c:axId val="181943296"/>
        <c:axId val="0"/>
      </c:bar3DChart>
      <c:catAx>
        <c:axId val="181941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1943296"/>
        <c:crosses val="autoZero"/>
        <c:auto val="1"/>
        <c:lblAlgn val="ctr"/>
        <c:lblOffset val="100"/>
        <c:noMultiLvlLbl val="0"/>
      </c:catAx>
      <c:valAx>
        <c:axId val="18194329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1941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Sheet2!$A$44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Sheet2!$B$43:$F$43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Sheet2!$B$44:$F$44</c:f>
              <c:numCache>
                <c:formatCode>0</c:formatCode>
                <c:ptCount val="5"/>
                <c:pt idx="0">
                  <c:v>20</c:v>
                </c:pt>
                <c:pt idx="1">
                  <c:v>19.565217391304305</c:v>
                </c:pt>
                <c:pt idx="2">
                  <c:v>22.093023255813929</c:v>
                </c:pt>
                <c:pt idx="3">
                  <c:v>20.238095238095227</c:v>
                </c:pt>
                <c:pt idx="4">
                  <c:v>21.12676056338028</c:v>
                </c:pt>
              </c:numCache>
            </c:numRef>
          </c:val>
        </c:ser>
        <c:ser>
          <c:idx val="1"/>
          <c:order val="1"/>
          <c:tx>
            <c:strRef>
              <c:f>Sheet2!$A$45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Sheet2!$B$43:$F$43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Sheet2!$B$45:$F$45</c:f>
              <c:numCache>
                <c:formatCode>0</c:formatCode>
                <c:ptCount val="5"/>
                <c:pt idx="0">
                  <c:v>47.5</c:v>
                </c:pt>
                <c:pt idx="1">
                  <c:v>47.826086956521763</c:v>
                </c:pt>
                <c:pt idx="2">
                  <c:v>37.209302325581504</c:v>
                </c:pt>
                <c:pt idx="3">
                  <c:v>33.333333333333329</c:v>
                </c:pt>
                <c:pt idx="4">
                  <c:v>50.704225352112644</c:v>
                </c:pt>
              </c:numCache>
            </c:numRef>
          </c:val>
        </c:ser>
        <c:ser>
          <c:idx val="2"/>
          <c:order val="2"/>
          <c:tx>
            <c:strRef>
              <c:f>Sheet2!$A$46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Sheet2!$B$43:$F$43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Sheet2!$B$46:$F$46</c:f>
              <c:numCache>
                <c:formatCode>0</c:formatCode>
                <c:ptCount val="5"/>
                <c:pt idx="0">
                  <c:v>22.5</c:v>
                </c:pt>
                <c:pt idx="1">
                  <c:v>28.260869565217387</c:v>
                </c:pt>
                <c:pt idx="2">
                  <c:v>31.395348837209262</c:v>
                </c:pt>
                <c:pt idx="3">
                  <c:v>42.857142857142769</c:v>
                </c:pt>
                <c:pt idx="4">
                  <c:v>23.943661971830952</c:v>
                </c:pt>
              </c:numCache>
            </c:numRef>
          </c:val>
        </c:ser>
        <c:ser>
          <c:idx val="3"/>
          <c:order val="3"/>
          <c:tx>
            <c:strRef>
              <c:f>Sheet2!$A$47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Sheet2!$B$43:$F$43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Sheet2!$B$47:$F$47</c:f>
              <c:numCache>
                <c:formatCode>0</c:formatCode>
                <c:ptCount val="5"/>
                <c:pt idx="0">
                  <c:v>10</c:v>
                </c:pt>
                <c:pt idx="1">
                  <c:v>4.3478260869565215</c:v>
                </c:pt>
                <c:pt idx="2">
                  <c:v>9.3023255813953494</c:v>
                </c:pt>
                <c:pt idx="3">
                  <c:v>3.5714285714285707</c:v>
                </c:pt>
                <c:pt idx="4">
                  <c:v>4.225352112676056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980544"/>
        <c:axId val="182322304"/>
        <c:axId val="0"/>
      </c:bar3DChart>
      <c:catAx>
        <c:axId val="181980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2322304"/>
        <c:crosses val="autoZero"/>
        <c:auto val="1"/>
        <c:lblAlgn val="ctr"/>
        <c:lblOffset val="100"/>
        <c:noMultiLvlLbl val="0"/>
      </c:catAx>
      <c:valAx>
        <c:axId val="18232230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1980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Sheet2!$A$70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Sheet2!$B$69:$F$69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Sheet2!$B$70:$F$70</c:f>
              <c:numCache>
                <c:formatCode>0</c:formatCode>
                <c:ptCount val="5"/>
                <c:pt idx="0">
                  <c:v>17.857142857142829</c:v>
                </c:pt>
                <c:pt idx="1">
                  <c:v>32.142857142857153</c:v>
                </c:pt>
                <c:pt idx="2">
                  <c:v>34.210526315789473</c:v>
                </c:pt>
                <c:pt idx="3">
                  <c:v>34.285714285714285</c:v>
                </c:pt>
                <c:pt idx="4">
                  <c:v>22.58064516129032</c:v>
                </c:pt>
              </c:numCache>
            </c:numRef>
          </c:val>
        </c:ser>
        <c:ser>
          <c:idx val="1"/>
          <c:order val="1"/>
          <c:tx>
            <c:strRef>
              <c:f>Sheet2!$A$71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Sheet2!$B$69:$F$69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Sheet2!$B$71:$F$71</c:f>
              <c:numCache>
                <c:formatCode>0</c:formatCode>
                <c:ptCount val="5"/>
                <c:pt idx="0">
                  <c:v>53.571428571428491</c:v>
                </c:pt>
                <c:pt idx="1">
                  <c:v>42.857142857142769</c:v>
                </c:pt>
                <c:pt idx="2">
                  <c:v>42.105263157894726</c:v>
                </c:pt>
                <c:pt idx="3">
                  <c:v>40</c:v>
                </c:pt>
                <c:pt idx="4">
                  <c:v>48.387096774193438</c:v>
                </c:pt>
              </c:numCache>
            </c:numRef>
          </c:val>
        </c:ser>
        <c:ser>
          <c:idx val="2"/>
          <c:order val="2"/>
          <c:tx>
            <c:strRef>
              <c:f>Sheet2!$A$72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Sheet2!$B$69:$F$69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Sheet2!$B$72:$F$72</c:f>
              <c:numCache>
                <c:formatCode>0</c:formatCode>
                <c:ptCount val="5"/>
                <c:pt idx="0">
                  <c:v>25</c:v>
                </c:pt>
                <c:pt idx="1">
                  <c:v>17.857142857142829</c:v>
                </c:pt>
                <c:pt idx="2">
                  <c:v>21.052631578947295</c:v>
                </c:pt>
                <c:pt idx="3">
                  <c:v>22.857142857142829</c:v>
                </c:pt>
                <c:pt idx="4">
                  <c:v>29.032258064516135</c:v>
                </c:pt>
              </c:numCache>
            </c:numRef>
          </c:val>
        </c:ser>
        <c:ser>
          <c:idx val="3"/>
          <c:order val="3"/>
          <c:tx>
            <c:strRef>
              <c:f>Sheet2!$A$73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Sheet2!$B$69:$F$69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Sheet2!$B$73:$F$73</c:f>
              <c:numCache>
                <c:formatCode>0</c:formatCode>
                <c:ptCount val="5"/>
                <c:pt idx="0">
                  <c:v>3.5714285714285707</c:v>
                </c:pt>
                <c:pt idx="1">
                  <c:v>7.1428571428571415</c:v>
                </c:pt>
                <c:pt idx="2">
                  <c:v>2.6315789473684208</c:v>
                </c:pt>
                <c:pt idx="3">
                  <c:v>2.8571428571428572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347264"/>
        <c:axId val="182348800"/>
        <c:axId val="0"/>
      </c:bar3DChart>
      <c:catAx>
        <c:axId val="18234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2348800"/>
        <c:crosses val="autoZero"/>
        <c:auto val="1"/>
        <c:lblAlgn val="ctr"/>
        <c:lblOffset val="100"/>
        <c:noMultiLvlLbl val="0"/>
      </c:catAx>
      <c:valAx>
        <c:axId val="18234880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23472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Sheet2!$B$93</c:f>
              <c:strCache>
                <c:ptCount val="1"/>
                <c:pt idx="0">
                  <c:v>Sub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Sheet2!$A$94:$A$97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Sheet2!$B$94:$B$97</c:f>
              <c:numCache>
                <c:formatCode>0</c:formatCode>
                <c:ptCount val="4"/>
                <c:pt idx="0">
                  <c:v>14.285714285714286</c:v>
                </c:pt>
                <c:pt idx="1">
                  <c:v>52.380952380952387</c:v>
                </c:pt>
                <c:pt idx="2">
                  <c:v>14.285714285714286</c:v>
                </c:pt>
                <c:pt idx="3">
                  <c:v>19.047619047619026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381952"/>
        <c:axId val="182383744"/>
        <c:axId val="0"/>
      </c:bar3DChart>
      <c:catAx>
        <c:axId val="182381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2383744"/>
        <c:crosses val="autoZero"/>
        <c:auto val="1"/>
        <c:lblAlgn val="ctr"/>
        <c:lblOffset val="100"/>
        <c:noMultiLvlLbl val="0"/>
      </c:catAx>
      <c:valAx>
        <c:axId val="18238374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2381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7D04-86F6-4087-9189-48E17D91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2018-06-06T12:45:00Z</dcterms:created>
  <dcterms:modified xsi:type="dcterms:W3CDTF">2018-10-16T10:35:00Z</dcterms:modified>
</cp:coreProperties>
</file>