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14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F4327">
        <w:rPr>
          <w:rFonts w:ascii="Times New Roman" w:hAnsi="Times New Roman" w:cs="Times New Roman"/>
          <w:b/>
          <w:sz w:val="24"/>
          <w:szCs w:val="24"/>
        </w:rPr>
        <w:t>V</w:t>
      </w:r>
      <w:r w:rsidR="005358DB">
        <w:rPr>
          <w:rFonts w:ascii="Times New Roman" w:hAnsi="Times New Roman" w:cs="Times New Roman"/>
          <w:b/>
          <w:sz w:val="24"/>
          <w:szCs w:val="24"/>
        </w:rPr>
        <w:t>I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14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996E53">
        <w:rPr>
          <w:rFonts w:ascii="Times New Roman" w:hAnsi="Times New Roman" w:cs="Times New Roman"/>
          <w:b/>
          <w:sz w:val="24"/>
          <w:szCs w:val="24"/>
        </w:rPr>
        <w:t>Chem. Tech.</w:t>
      </w:r>
      <w:r w:rsidR="0014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996E53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996E53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1440A2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1440A2">
        <w:rPr>
          <w:rFonts w:ascii="Times New Roman" w:hAnsi="Times New Roman" w:cs="Times New Roman"/>
          <w:sz w:val="24"/>
          <w:szCs w:val="24"/>
        </w:rPr>
        <w:t xml:space="preserve">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762"/>
        <w:gridCol w:w="660"/>
        <w:gridCol w:w="660"/>
        <w:gridCol w:w="660"/>
        <w:gridCol w:w="660"/>
        <w:gridCol w:w="645"/>
        <w:gridCol w:w="660"/>
        <w:gridCol w:w="660"/>
        <w:gridCol w:w="660"/>
        <w:gridCol w:w="738"/>
        <w:gridCol w:w="772"/>
        <w:gridCol w:w="848"/>
        <w:gridCol w:w="810"/>
        <w:gridCol w:w="772"/>
      </w:tblGrid>
      <w:tr w:rsidR="001440A2" w:rsidRPr="008F253E" w:rsidTr="001440A2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440A2" w:rsidRPr="008F253E" w:rsidRDefault="001440A2" w:rsidP="00144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440A2" w:rsidRDefault="001440A2" w:rsidP="001440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Sub13</w:t>
            </w:r>
          </w:p>
        </w:tc>
      </w:tr>
      <w:tr w:rsidR="008F253E" w:rsidRPr="008F253E" w:rsidTr="001440A2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E" w:rsidRPr="008F253E" w:rsidRDefault="008F253E" w:rsidP="00144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F253E" w:rsidRPr="008F253E" w:rsidTr="001440A2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E" w:rsidRPr="008F253E" w:rsidRDefault="008F253E" w:rsidP="00144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F253E" w:rsidRPr="008F253E" w:rsidTr="001440A2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E" w:rsidRPr="008F253E" w:rsidRDefault="008F253E" w:rsidP="00144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F253E" w:rsidRPr="008F253E" w:rsidTr="001440A2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E" w:rsidRPr="008F253E" w:rsidRDefault="008F253E" w:rsidP="00144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F253E" w:rsidRPr="008F253E" w:rsidTr="001440A2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E" w:rsidRPr="008F253E" w:rsidRDefault="008F253E" w:rsidP="00144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E" w:rsidRPr="008F253E" w:rsidRDefault="008F253E" w:rsidP="00144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253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</w:tbl>
    <w:p w:rsidR="00AB5585" w:rsidRDefault="00AB5585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762"/>
        <w:gridCol w:w="660"/>
        <w:gridCol w:w="660"/>
        <w:gridCol w:w="660"/>
        <w:gridCol w:w="660"/>
        <w:gridCol w:w="645"/>
        <w:gridCol w:w="660"/>
        <w:gridCol w:w="660"/>
        <w:gridCol w:w="660"/>
        <w:gridCol w:w="660"/>
        <w:gridCol w:w="772"/>
        <w:gridCol w:w="780"/>
        <w:gridCol w:w="790"/>
        <w:gridCol w:w="901"/>
      </w:tblGrid>
      <w:tr w:rsidR="00B464DC" w:rsidRPr="008F253E" w:rsidTr="00B464DC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AB5585" w:rsidRDefault="00AB5585" w:rsidP="001440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Sub13</w:t>
            </w:r>
          </w:p>
        </w:tc>
      </w:tr>
      <w:tr w:rsidR="00B464DC" w:rsidRPr="008F253E" w:rsidTr="00B464DC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85" w:rsidRDefault="00AB5585" w:rsidP="001440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464DC" w:rsidRPr="008F253E" w:rsidTr="00B464DC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85" w:rsidRDefault="00AB5585" w:rsidP="001440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B464DC" w:rsidRPr="008F253E" w:rsidTr="00B464DC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85" w:rsidRDefault="00AB5585" w:rsidP="001440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B464DC" w:rsidRPr="008F253E" w:rsidTr="00B464DC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85" w:rsidRDefault="00AB5585" w:rsidP="001440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B464DC" w:rsidRPr="008F253E" w:rsidTr="00B464DC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85" w:rsidRDefault="00AB5585" w:rsidP="001440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85" w:rsidRDefault="00AB5585" w:rsidP="001440A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1440A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D40542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7695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FD2" w:rsidRPr="0093357F" w:rsidRDefault="00B45248" w:rsidP="00811FD2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897FFA">
        <w:rPr>
          <w:b/>
          <w:noProof/>
          <w:sz w:val="24"/>
          <w:szCs w:val="24"/>
          <w:lang w:val="en-IN" w:eastAsia="en-IN"/>
        </w:rPr>
        <w:t>Food Analysis</w:t>
      </w:r>
    </w:p>
    <w:p w:rsidR="00B45248" w:rsidRPr="00236F1C" w:rsidRDefault="00B464D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464D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464D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464D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686" w:rsidRPr="0093357F" w:rsidRDefault="00B15C6F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3C2686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C2686" w:rsidRPr="0093357F" w:rsidRDefault="00B15C6F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3C2686" w:rsidRPr="0093357F">
        <w:rPr>
          <w:b/>
          <w:noProof/>
          <w:sz w:val="24"/>
          <w:szCs w:val="24"/>
          <w:lang w:val="en-IN" w:eastAsia="en-IN"/>
        </w:rPr>
        <w:t>Phytopharmaceutical Technology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686" w:rsidRPr="0093357F" w:rsidRDefault="00B15C6F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3C2686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686" w:rsidRPr="0093357F" w:rsidRDefault="00B15C6F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3C2686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4D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686" w:rsidRPr="0093357F" w:rsidRDefault="00CA0F87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3C2686" w:rsidRPr="0093357F">
        <w:rPr>
          <w:b/>
          <w:noProof/>
          <w:sz w:val="24"/>
          <w:szCs w:val="24"/>
          <w:lang w:val="en-IN" w:eastAsia="en-IN"/>
        </w:rPr>
        <w:t>Food Additives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2686" w:rsidRPr="0093357F" w:rsidRDefault="00CA0F87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3C2686" w:rsidRPr="0093357F">
        <w:rPr>
          <w:b/>
          <w:noProof/>
          <w:sz w:val="24"/>
          <w:szCs w:val="24"/>
          <w:lang w:val="en-IN" w:eastAsia="en-IN"/>
        </w:rPr>
        <w:t>Beverage Technology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2686" w:rsidRPr="0093357F" w:rsidRDefault="00CA0F87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3C2686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DB1A34" w:rsidRPr="0093357F" w:rsidRDefault="00CA0F87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DB1A34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B464DC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A34" w:rsidRPr="0093357F" w:rsidRDefault="003C2686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10: </w:t>
      </w:r>
      <w:r w:rsidR="00DB1A34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10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Outstanding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3C2686">
        <w:rPr>
          <w:rFonts w:ascii="Times New Roman" w:hAnsi="Times New Roman" w:cs="Times New Roman"/>
          <w:sz w:val="24"/>
          <w:szCs w:val="24"/>
        </w:rPr>
        <w:t>10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Excellent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10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Good</w:t>
      </w:r>
    </w:p>
    <w:p w:rsidR="003C2686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10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Average</w:t>
      </w: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DB1A34" w:rsidRPr="0093357F" w:rsidRDefault="003C2686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DB1A34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11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Outstanding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3C2686">
        <w:rPr>
          <w:rFonts w:ascii="Times New Roman" w:hAnsi="Times New Roman" w:cs="Times New Roman"/>
          <w:sz w:val="24"/>
          <w:szCs w:val="24"/>
        </w:rPr>
        <w:t>11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Excellent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11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Good</w:t>
      </w:r>
    </w:p>
    <w:p w:rsidR="003C2686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11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Average</w:t>
      </w:r>
    </w:p>
    <w:p w:rsidR="003C2686" w:rsidRDefault="003C2686">
      <w:pPr>
        <w:rPr>
          <w:rFonts w:ascii="Times New Roman" w:hAnsi="Times New Roman" w:cs="Times New Roman"/>
          <w:sz w:val="24"/>
          <w:szCs w:val="24"/>
        </w:rPr>
      </w:pPr>
    </w:p>
    <w:p w:rsidR="00DB1A34" w:rsidRPr="0093357F" w:rsidRDefault="003C2686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DB1A34" w:rsidRPr="0093357F">
        <w:rPr>
          <w:b/>
          <w:noProof/>
          <w:sz w:val="24"/>
          <w:szCs w:val="24"/>
          <w:lang w:val="en-IN" w:eastAsia="en-IN"/>
        </w:rPr>
        <w:t>Pharma Packaging Technology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12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Outstanding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3C2686">
        <w:rPr>
          <w:rFonts w:ascii="Times New Roman" w:hAnsi="Times New Roman" w:cs="Times New Roman"/>
          <w:sz w:val="24"/>
          <w:szCs w:val="24"/>
        </w:rPr>
        <w:t>12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Excellent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12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Good</w:t>
      </w:r>
    </w:p>
    <w:p w:rsidR="003C2686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12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Average</w:t>
      </w:r>
    </w:p>
    <w:p w:rsidR="003C2686" w:rsidRDefault="003C2686">
      <w:pPr>
        <w:rPr>
          <w:rFonts w:ascii="Times New Roman" w:hAnsi="Times New Roman" w:cs="Times New Roman"/>
          <w:sz w:val="24"/>
          <w:szCs w:val="24"/>
        </w:rPr>
      </w:pPr>
    </w:p>
    <w:p w:rsidR="00DB1A34" w:rsidRPr="0093357F" w:rsidRDefault="003C2686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13: </w:t>
      </w:r>
      <w:r w:rsidR="00DB1A34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13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Outstanding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3C2686">
        <w:rPr>
          <w:rFonts w:ascii="Times New Roman" w:hAnsi="Times New Roman" w:cs="Times New Roman"/>
          <w:sz w:val="24"/>
          <w:szCs w:val="24"/>
        </w:rPr>
        <w:t>13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Excellent</w:t>
      </w:r>
    </w:p>
    <w:p w:rsidR="003C2686" w:rsidRPr="00236F1C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13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Good</w:t>
      </w:r>
    </w:p>
    <w:p w:rsidR="003C2686" w:rsidRDefault="00B464DC" w:rsidP="003C26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68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C2686">
        <w:rPr>
          <w:rFonts w:ascii="Times New Roman" w:hAnsi="Times New Roman" w:cs="Times New Roman"/>
          <w:sz w:val="24"/>
          <w:szCs w:val="24"/>
        </w:rPr>
        <w:t>d course curriculum of subject 13</w:t>
      </w:r>
      <w:r w:rsidR="003C268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2686">
        <w:rPr>
          <w:rFonts w:ascii="Times New Roman" w:hAnsi="Times New Roman" w:cs="Times New Roman"/>
          <w:sz w:val="24"/>
          <w:szCs w:val="24"/>
        </w:rPr>
        <w:t>Average</w:t>
      </w:r>
    </w:p>
    <w:p w:rsidR="003C2686" w:rsidRDefault="003C2686">
      <w:pPr>
        <w:rPr>
          <w:rFonts w:ascii="Times New Roman" w:hAnsi="Times New Roman" w:cs="Times New Roman"/>
          <w:sz w:val="24"/>
          <w:szCs w:val="24"/>
        </w:rPr>
      </w:pPr>
    </w:p>
    <w:p w:rsidR="003C2686" w:rsidRDefault="003C2686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2A703B" w:rsidRDefault="002A703B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 w:rsidR="001440A2">
        <w:rPr>
          <w:rFonts w:ascii="Times New Roman" w:hAnsi="Times New Roman" w:cs="Times New Roman"/>
          <w:b/>
          <w:sz w:val="24"/>
          <w:szCs w:val="24"/>
        </w:rPr>
        <w:t>summary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7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90"/>
        <w:gridCol w:w="663"/>
      </w:tblGrid>
      <w:tr w:rsidR="00FB5655" w:rsidRPr="008F253E" w:rsidTr="00FB5655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2132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762"/>
        <w:gridCol w:w="660"/>
        <w:gridCol w:w="660"/>
        <w:gridCol w:w="660"/>
        <w:gridCol w:w="660"/>
        <w:gridCol w:w="645"/>
        <w:gridCol w:w="660"/>
        <w:gridCol w:w="660"/>
        <w:gridCol w:w="660"/>
        <w:gridCol w:w="660"/>
        <w:gridCol w:w="772"/>
        <w:gridCol w:w="772"/>
        <w:gridCol w:w="772"/>
        <w:gridCol w:w="772"/>
      </w:tblGrid>
      <w:tr w:rsidR="00FB5655" w:rsidRPr="008F253E" w:rsidTr="00FB5655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B5655" w:rsidRDefault="00FB5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Sub13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FB5655" w:rsidRPr="008F253E" w:rsidTr="00FB565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55" w:rsidRDefault="00FB56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55" w:rsidRDefault="00FB5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FB5655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45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02BBB" w:rsidRDefault="000B177B" w:rsidP="00811FD2">
      <w:pPr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897FFA">
        <w:rPr>
          <w:b/>
          <w:noProof/>
          <w:sz w:val="24"/>
          <w:szCs w:val="24"/>
          <w:lang w:val="en-IN" w:eastAsia="en-IN"/>
        </w:rPr>
        <w:t>Food Analysis</w:t>
      </w:r>
      <w:r w:rsidR="00897FFA" w:rsidRPr="001440A2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2BBB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3C2686" w:rsidRPr="0093357F">
        <w:rPr>
          <w:b/>
          <w:noProof/>
          <w:sz w:val="24"/>
          <w:szCs w:val="24"/>
          <w:lang w:val="en-IN" w:eastAsia="en-IN"/>
        </w:rPr>
        <w:t>Applied Statistics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02BBB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A861EC" w:rsidRPr="0093357F">
        <w:rPr>
          <w:b/>
          <w:noProof/>
          <w:sz w:val="24"/>
          <w:szCs w:val="24"/>
          <w:lang w:val="en-IN" w:eastAsia="en-IN"/>
        </w:rPr>
        <w:t>Phytopharmaceutical Technology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BBB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400992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BBB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400992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F09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02BBB" w:rsidRDefault="00F306B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400992" w:rsidRPr="0093357F">
        <w:rPr>
          <w:b/>
          <w:noProof/>
          <w:sz w:val="24"/>
          <w:szCs w:val="24"/>
          <w:lang w:val="en-IN" w:eastAsia="en-IN"/>
        </w:rPr>
        <w:t>Food Additives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F306B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400992" w:rsidRPr="0093357F">
        <w:rPr>
          <w:b/>
          <w:noProof/>
          <w:sz w:val="24"/>
          <w:szCs w:val="24"/>
          <w:lang w:val="en-IN" w:eastAsia="en-IN"/>
        </w:rPr>
        <w:t>Beverage Technology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F306B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400992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F306B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400992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4F0923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2A703B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10: </w:t>
      </w:r>
      <w:r w:rsidR="00400992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10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Outstanding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A703B">
        <w:rPr>
          <w:rFonts w:ascii="Times New Roman" w:hAnsi="Times New Roman" w:cs="Times New Roman"/>
          <w:sz w:val="24"/>
          <w:szCs w:val="24"/>
        </w:rPr>
        <w:t>Teacher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2A703B">
        <w:rPr>
          <w:rFonts w:ascii="Times New Roman" w:hAnsi="Times New Roman" w:cs="Times New Roman"/>
          <w:sz w:val="24"/>
          <w:szCs w:val="24"/>
        </w:rPr>
        <w:t>10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Excellent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10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Good</w:t>
      </w:r>
    </w:p>
    <w:p w:rsidR="002A703B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10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2A703B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400992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11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Outstanding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A703B">
        <w:rPr>
          <w:rFonts w:ascii="Times New Roman" w:hAnsi="Times New Roman" w:cs="Times New Roman"/>
          <w:sz w:val="24"/>
          <w:szCs w:val="24"/>
        </w:rPr>
        <w:t>Teacher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2A703B">
        <w:rPr>
          <w:rFonts w:ascii="Times New Roman" w:hAnsi="Times New Roman" w:cs="Times New Roman"/>
          <w:sz w:val="24"/>
          <w:szCs w:val="24"/>
        </w:rPr>
        <w:t>11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Excellent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11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Good</w:t>
      </w:r>
    </w:p>
    <w:p w:rsidR="002A703B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11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Average</w:t>
      </w:r>
    </w:p>
    <w:p w:rsidR="002A703B" w:rsidRDefault="002A703B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2A703B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400992" w:rsidRPr="0093357F">
        <w:rPr>
          <w:b/>
          <w:noProof/>
          <w:sz w:val="24"/>
          <w:szCs w:val="24"/>
          <w:lang w:val="en-IN" w:eastAsia="en-IN"/>
        </w:rPr>
        <w:t>Pharma Packaging Technology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12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Outstanding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A703B">
        <w:rPr>
          <w:rFonts w:ascii="Times New Roman" w:hAnsi="Times New Roman" w:cs="Times New Roman"/>
          <w:sz w:val="24"/>
          <w:szCs w:val="24"/>
        </w:rPr>
        <w:t>Teacher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2A703B">
        <w:rPr>
          <w:rFonts w:ascii="Times New Roman" w:hAnsi="Times New Roman" w:cs="Times New Roman"/>
          <w:sz w:val="24"/>
          <w:szCs w:val="24"/>
        </w:rPr>
        <w:t>12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Excellent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 xml:space="preserve">of subject 12 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2A703B">
        <w:rPr>
          <w:rFonts w:ascii="Times New Roman" w:hAnsi="Times New Roman" w:cs="Times New Roman"/>
          <w:sz w:val="24"/>
          <w:szCs w:val="24"/>
        </w:rPr>
        <w:t>Good</w:t>
      </w:r>
    </w:p>
    <w:p w:rsidR="002A703B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12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Average</w:t>
      </w:r>
    </w:p>
    <w:p w:rsidR="002A703B" w:rsidRDefault="002A703B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0992" w:rsidRPr="0093357F" w:rsidRDefault="002A703B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13: </w:t>
      </w:r>
      <w:r w:rsidR="00400992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13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Outstanding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A703B">
        <w:rPr>
          <w:rFonts w:ascii="Times New Roman" w:hAnsi="Times New Roman" w:cs="Times New Roman"/>
          <w:sz w:val="24"/>
          <w:szCs w:val="24"/>
        </w:rPr>
        <w:t>Teacher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2A703B">
        <w:rPr>
          <w:rFonts w:ascii="Times New Roman" w:hAnsi="Times New Roman" w:cs="Times New Roman"/>
          <w:sz w:val="24"/>
          <w:szCs w:val="24"/>
        </w:rPr>
        <w:t>13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Excellent</w:t>
      </w:r>
    </w:p>
    <w:p w:rsidR="002A703B" w:rsidRPr="00236F1C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13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Good</w:t>
      </w:r>
    </w:p>
    <w:p w:rsidR="002A703B" w:rsidRDefault="004F0923" w:rsidP="002A703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703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A703B">
        <w:rPr>
          <w:rFonts w:ascii="Times New Roman" w:hAnsi="Times New Roman" w:cs="Times New Roman"/>
          <w:sz w:val="24"/>
          <w:szCs w:val="24"/>
        </w:rPr>
        <w:t>d Teacher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 w:rsidR="002A703B">
        <w:rPr>
          <w:rFonts w:ascii="Times New Roman" w:hAnsi="Times New Roman" w:cs="Times New Roman"/>
          <w:sz w:val="24"/>
          <w:szCs w:val="24"/>
        </w:rPr>
        <w:t>of subject 13</w:t>
      </w:r>
      <w:r w:rsidR="002A703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A703B">
        <w:rPr>
          <w:rFonts w:ascii="Times New Roman" w:hAnsi="Times New Roman" w:cs="Times New Roman"/>
          <w:sz w:val="24"/>
          <w:szCs w:val="24"/>
        </w:rPr>
        <w:t>Average</w:t>
      </w:r>
    </w:p>
    <w:p w:rsidR="002A703B" w:rsidRDefault="002A703B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69D1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Chem. Tech. 2017-2018 </w:t>
      </w:r>
      <w:proofErr w:type="spellStart"/>
      <w:r w:rsidRPr="00636C35">
        <w:rPr>
          <w:rFonts w:ascii="Times New Roman" w:hAnsi="Times New Roman" w:cs="Times New Roman"/>
          <w:b/>
          <w:sz w:val="24"/>
          <w:szCs w:val="24"/>
        </w:rPr>
        <w:t>aboutProjects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7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90"/>
        <w:gridCol w:w="663"/>
      </w:tblGrid>
      <w:tr w:rsidR="00AB69D1" w:rsidRPr="008F253E" w:rsidTr="00AB69D1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2132</w:t>
            </w:r>
          </w:p>
        </w:tc>
      </w:tr>
      <w:tr w:rsidR="00AB69D1" w:rsidRPr="008F253E" w:rsidTr="00AB69D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B69D1" w:rsidRPr="008F253E" w:rsidTr="00AB69D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AB69D1" w:rsidRPr="008F253E" w:rsidTr="00AB69D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9D1" w:rsidRPr="008F253E" w:rsidTr="00AB69D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B69D1" w:rsidRPr="008F253E" w:rsidTr="00AB69D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762"/>
        <w:gridCol w:w="660"/>
        <w:gridCol w:w="660"/>
        <w:gridCol w:w="660"/>
        <w:gridCol w:w="660"/>
        <w:gridCol w:w="645"/>
        <w:gridCol w:w="660"/>
        <w:gridCol w:w="660"/>
        <w:gridCol w:w="660"/>
        <w:gridCol w:w="660"/>
        <w:gridCol w:w="772"/>
        <w:gridCol w:w="772"/>
        <w:gridCol w:w="772"/>
        <w:gridCol w:w="817"/>
      </w:tblGrid>
      <w:tr w:rsidR="00AB69D1" w:rsidRPr="008F253E" w:rsidTr="00AB69D1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69D1" w:rsidRDefault="00AB69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Sub13</w:t>
            </w:r>
          </w:p>
        </w:tc>
      </w:tr>
      <w:tr w:rsidR="00AB69D1" w:rsidRPr="008F253E" w:rsidTr="00AB69D1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B69D1" w:rsidRPr="008F253E" w:rsidTr="00AB69D1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AB69D1" w:rsidRPr="008F253E" w:rsidTr="00AB69D1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AB69D1" w:rsidRPr="008F253E" w:rsidTr="00AB69D1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B69D1" w:rsidRPr="008F253E" w:rsidTr="00AB69D1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D1" w:rsidRDefault="00AB6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D1" w:rsidRDefault="00AB6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AB69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63341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11FD2" w:rsidRPr="0093357F" w:rsidRDefault="000B177B" w:rsidP="00811FD2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686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3C2686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0C269F" w:rsidRPr="0093357F">
        <w:rPr>
          <w:b/>
          <w:noProof/>
          <w:sz w:val="24"/>
          <w:szCs w:val="24"/>
          <w:lang w:val="en-IN" w:eastAsia="en-IN"/>
        </w:rPr>
        <w:t>Phytopharmaceutical Technology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0C269F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0C269F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B69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E5CC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6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0C269F" w:rsidRPr="0093357F">
        <w:rPr>
          <w:b/>
          <w:noProof/>
          <w:sz w:val="24"/>
          <w:szCs w:val="24"/>
          <w:lang w:val="en-IN" w:eastAsia="en-IN"/>
        </w:rPr>
        <w:t>Food Additives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5E5CC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7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0C269F" w:rsidRPr="0093357F">
        <w:rPr>
          <w:b/>
          <w:noProof/>
          <w:sz w:val="24"/>
          <w:szCs w:val="24"/>
          <w:lang w:val="en-IN" w:eastAsia="en-IN"/>
        </w:rPr>
        <w:t>Beverage Technology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5E5CC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8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0C269F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AB69D1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5E5CCE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9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0C269F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5E5CCE" w:rsidRPr="00236F1C" w:rsidRDefault="000D16A3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E5CCE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0D16A3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81D4A">
        <w:rPr>
          <w:rFonts w:ascii="Times New Roman" w:hAnsi="Times New Roman" w:cs="Times New Roman"/>
          <w:sz w:val="24"/>
          <w:szCs w:val="24"/>
        </w:rPr>
        <w:t>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0D16A3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0D16A3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F81D4A">
        <w:rPr>
          <w:rFonts w:ascii="Times New Roman" w:hAnsi="Times New Roman" w:cs="Times New Roman"/>
          <w:sz w:val="24"/>
          <w:szCs w:val="24"/>
        </w:rPr>
        <w:t xml:space="preserve"> subject 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10: </w:t>
      </w:r>
      <w:r w:rsidR="000C269F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400992">
        <w:rPr>
          <w:rFonts w:ascii="Times New Roman" w:hAnsi="Times New Roman" w:cs="Times New Roman"/>
          <w:sz w:val="24"/>
          <w:szCs w:val="24"/>
        </w:rPr>
        <w:t>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0C269F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400992">
        <w:rPr>
          <w:rFonts w:ascii="Times New Roman" w:hAnsi="Times New Roman" w:cs="Times New Roman"/>
          <w:sz w:val="24"/>
          <w:szCs w:val="24"/>
        </w:rPr>
        <w:t>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0C269F" w:rsidRPr="0093357F">
        <w:rPr>
          <w:b/>
          <w:noProof/>
          <w:sz w:val="24"/>
          <w:szCs w:val="24"/>
          <w:lang w:val="en-IN" w:eastAsia="en-IN"/>
        </w:rPr>
        <w:t>Pharma Packaging Technology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400992">
        <w:rPr>
          <w:rFonts w:ascii="Times New Roman" w:hAnsi="Times New Roman" w:cs="Times New Roman"/>
          <w:sz w:val="24"/>
          <w:szCs w:val="24"/>
        </w:rPr>
        <w:t>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13: </w:t>
      </w:r>
      <w:r w:rsidR="000C269F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400992">
        <w:rPr>
          <w:rFonts w:ascii="Times New Roman" w:hAnsi="Times New Roman" w:cs="Times New Roman"/>
          <w:sz w:val="24"/>
          <w:szCs w:val="24"/>
        </w:rPr>
        <w:t>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0D16A3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 xml:space="preserve">d </w:t>
      </w:r>
      <w:r w:rsidR="001440A2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400992">
        <w:rPr>
          <w:rFonts w:ascii="Times New Roman" w:hAnsi="Times New Roman" w:cs="Times New Roman"/>
          <w:sz w:val="24"/>
          <w:szCs w:val="24"/>
        </w:rPr>
        <w:t xml:space="preserve"> subject 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3310" w:rsidRDefault="007C331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144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7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90"/>
        <w:gridCol w:w="663"/>
      </w:tblGrid>
      <w:tr w:rsidR="00A239C9" w:rsidRPr="008F253E" w:rsidTr="00A239C9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2132</w:t>
            </w:r>
          </w:p>
        </w:tc>
      </w:tr>
      <w:tr w:rsidR="00A239C9" w:rsidRPr="008F253E" w:rsidTr="00A239C9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239C9" w:rsidRPr="008F253E" w:rsidTr="00A239C9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239C9" w:rsidRPr="008F253E" w:rsidTr="00A239C9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239C9" w:rsidRPr="008F253E" w:rsidTr="00A239C9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239C9" w:rsidRPr="008F253E" w:rsidTr="00A239C9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762"/>
        <w:gridCol w:w="660"/>
        <w:gridCol w:w="660"/>
        <w:gridCol w:w="660"/>
        <w:gridCol w:w="660"/>
        <w:gridCol w:w="645"/>
        <w:gridCol w:w="660"/>
        <w:gridCol w:w="660"/>
        <w:gridCol w:w="660"/>
        <w:gridCol w:w="660"/>
        <w:gridCol w:w="772"/>
        <w:gridCol w:w="772"/>
        <w:gridCol w:w="772"/>
        <w:gridCol w:w="907"/>
      </w:tblGrid>
      <w:tr w:rsidR="00A239C9" w:rsidRPr="008F253E" w:rsidTr="00A239C9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239C9" w:rsidRDefault="00A23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Sub13</w:t>
            </w:r>
          </w:p>
        </w:tc>
      </w:tr>
      <w:tr w:rsidR="00A239C9" w:rsidRPr="008F253E" w:rsidTr="00A239C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239C9" w:rsidRPr="008F253E" w:rsidTr="00A239C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A239C9" w:rsidRPr="008F253E" w:rsidTr="00A239C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A239C9" w:rsidRPr="008F253E" w:rsidTr="00A239C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239C9" w:rsidRPr="008F253E" w:rsidTr="00A239C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C9" w:rsidRDefault="00A23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C9" w:rsidRDefault="00A2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A239C9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722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440A2" w:rsidRPr="001440A2" w:rsidRDefault="000B177B" w:rsidP="001440A2">
      <w:pPr>
        <w:rPr>
          <w:rFonts w:ascii="Calibri" w:eastAsia="Times New Roman" w:hAnsi="Calibri" w:cs="Times New Roman"/>
          <w:color w:val="000000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1440A2" w:rsidRPr="001440A2">
        <w:rPr>
          <w:rFonts w:ascii="Calibri" w:eastAsia="Times New Roman" w:hAnsi="Calibri" w:cs="Times New Roman"/>
          <w:color w:val="000000"/>
        </w:rPr>
        <w:t>Food Analysis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686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3C2686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0C269F" w:rsidRPr="0093357F">
        <w:rPr>
          <w:b/>
          <w:noProof/>
          <w:sz w:val="24"/>
          <w:szCs w:val="24"/>
          <w:lang w:val="en-IN" w:eastAsia="en-IN"/>
        </w:rPr>
        <w:t>Phytopharmaceutical Technology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0C269F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9F" w:rsidRPr="0093357F" w:rsidRDefault="005D7678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0C269F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239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B44764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0C269F" w:rsidRPr="0093357F">
        <w:rPr>
          <w:b/>
          <w:noProof/>
          <w:sz w:val="24"/>
          <w:szCs w:val="24"/>
          <w:lang w:val="en-IN" w:eastAsia="en-IN"/>
        </w:rPr>
        <w:t>Food Additives</w:t>
      </w:r>
    </w:p>
    <w:p w:rsidR="00B44764" w:rsidRPr="00236F1C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B44764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0C269F" w:rsidRPr="0093357F">
        <w:rPr>
          <w:b/>
          <w:noProof/>
          <w:sz w:val="24"/>
          <w:szCs w:val="24"/>
          <w:lang w:val="en-IN" w:eastAsia="en-IN"/>
        </w:rPr>
        <w:t>Beverage Technology</w:t>
      </w:r>
    </w:p>
    <w:p w:rsidR="00B44764" w:rsidRPr="00236F1C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A239C9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B44764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0C269F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B44764" w:rsidRPr="00236F1C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B44764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0C269F" w:rsidRPr="0093357F">
        <w:rPr>
          <w:b/>
          <w:noProof/>
          <w:sz w:val="24"/>
          <w:szCs w:val="24"/>
          <w:lang w:val="en-IN" w:eastAsia="en-IN"/>
        </w:rPr>
        <w:t xml:space="preserve">Applied Statistics </w:t>
      </w:r>
    </w:p>
    <w:p w:rsidR="00B44764" w:rsidRPr="00236F1C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4764">
        <w:rPr>
          <w:rFonts w:ascii="Times New Roman" w:hAnsi="Times New Roman" w:cs="Times New Roman"/>
          <w:sz w:val="24"/>
          <w:szCs w:val="24"/>
        </w:rPr>
        <w:t xml:space="preserve">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6D078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Over </w:t>
      </w:r>
      <w:r w:rsidR="00897FFA">
        <w:rPr>
          <w:rFonts w:ascii="Times New Roman" w:hAnsi="Times New Roman" w:cs="Times New Roman"/>
          <w:sz w:val="24"/>
          <w:szCs w:val="24"/>
        </w:rPr>
        <w:t xml:space="preserve">All 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10: </w:t>
      </w:r>
      <w:r w:rsidR="000C269F" w:rsidRPr="0093357F">
        <w:rPr>
          <w:b/>
          <w:noProof/>
          <w:sz w:val="24"/>
          <w:szCs w:val="24"/>
          <w:lang w:val="en-IN" w:eastAsia="en-IN"/>
        </w:rPr>
        <w:t>Chemical Reaction Engineering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992">
        <w:rPr>
          <w:rFonts w:ascii="Times New Roman" w:hAnsi="Times New Roman" w:cs="Times New Roman"/>
          <w:sz w:val="24"/>
          <w:szCs w:val="24"/>
        </w:rPr>
        <w:t>Project/Seminar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400992">
        <w:rPr>
          <w:rFonts w:ascii="Times New Roman" w:hAnsi="Times New Roman" w:cs="Times New Roman"/>
          <w:sz w:val="24"/>
          <w:szCs w:val="24"/>
        </w:rPr>
        <w:t>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10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11: </w:t>
      </w:r>
      <w:r w:rsidR="000C269F" w:rsidRPr="0093357F">
        <w:rPr>
          <w:b/>
          <w:noProof/>
          <w:sz w:val="24"/>
          <w:szCs w:val="24"/>
          <w:lang w:val="en-IN" w:eastAsia="en-IN"/>
        </w:rPr>
        <w:t>Plant Design &amp; Project Engineering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992">
        <w:rPr>
          <w:rFonts w:ascii="Times New Roman" w:hAnsi="Times New Roman" w:cs="Times New Roman"/>
          <w:sz w:val="24"/>
          <w:szCs w:val="24"/>
        </w:rPr>
        <w:t>Project/Seminar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400992">
        <w:rPr>
          <w:rFonts w:ascii="Times New Roman" w:hAnsi="Times New Roman" w:cs="Times New Roman"/>
          <w:sz w:val="24"/>
          <w:szCs w:val="24"/>
        </w:rPr>
        <w:t>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11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12: </w:t>
      </w:r>
      <w:r w:rsidR="000C269F" w:rsidRPr="0093357F">
        <w:rPr>
          <w:b/>
          <w:noProof/>
          <w:sz w:val="24"/>
          <w:szCs w:val="24"/>
          <w:lang w:val="en-IN" w:eastAsia="en-IN"/>
        </w:rPr>
        <w:t>Pharma Packaging Technology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992">
        <w:rPr>
          <w:rFonts w:ascii="Times New Roman" w:hAnsi="Times New Roman" w:cs="Times New Roman"/>
          <w:sz w:val="24"/>
          <w:szCs w:val="24"/>
        </w:rPr>
        <w:t>Project/Seminar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400992">
        <w:rPr>
          <w:rFonts w:ascii="Times New Roman" w:hAnsi="Times New Roman" w:cs="Times New Roman"/>
          <w:sz w:val="24"/>
          <w:szCs w:val="24"/>
        </w:rPr>
        <w:t>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12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9F" w:rsidRPr="0093357F" w:rsidRDefault="00400992" w:rsidP="0093357F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13: </w:t>
      </w:r>
      <w:r w:rsidR="000C269F" w:rsidRPr="0093357F">
        <w:rPr>
          <w:b/>
          <w:noProof/>
          <w:sz w:val="24"/>
          <w:szCs w:val="24"/>
          <w:lang w:val="en-IN" w:eastAsia="en-IN"/>
        </w:rPr>
        <w:t>Industrial Safety &amp; Management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Outstanding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992">
        <w:rPr>
          <w:rFonts w:ascii="Times New Roman" w:hAnsi="Times New Roman" w:cs="Times New Roman"/>
          <w:sz w:val="24"/>
          <w:szCs w:val="24"/>
        </w:rPr>
        <w:t>Project/Seminar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400992">
        <w:rPr>
          <w:rFonts w:ascii="Times New Roman" w:hAnsi="Times New Roman" w:cs="Times New Roman"/>
          <w:sz w:val="24"/>
          <w:szCs w:val="24"/>
        </w:rPr>
        <w:t xml:space="preserve">13 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00992">
        <w:rPr>
          <w:rFonts w:ascii="Times New Roman" w:hAnsi="Times New Roman" w:cs="Times New Roman"/>
          <w:sz w:val="24"/>
          <w:szCs w:val="24"/>
        </w:rPr>
        <w:t>Excellent</w:t>
      </w:r>
    </w:p>
    <w:p w:rsidR="00400992" w:rsidRPr="00236F1C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Good</w:t>
      </w:r>
    </w:p>
    <w:p w:rsidR="00400992" w:rsidRDefault="006D0787" w:rsidP="004009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0099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00992">
        <w:rPr>
          <w:rFonts w:ascii="Times New Roman" w:hAnsi="Times New Roman" w:cs="Times New Roman"/>
          <w:sz w:val="24"/>
          <w:szCs w:val="24"/>
        </w:rPr>
        <w:t>d Project/</w:t>
      </w:r>
      <w:proofErr w:type="spellStart"/>
      <w:r w:rsidR="00400992">
        <w:rPr>
          <w:rFonts w:ascii="Times New Roman" w:hAnsi="Times New Roman" w:cs="Times New Roman"/>
          <w:sz w:val="24"/>
          <w:szCs w:val="24"/>
        </w:rPr>
        <w:t>Seminarof</w:t>
      </w:r>
      <w:proofErr w:type="spellEnd"/>
      <w:r w:rsidR="00400992">
        <w:rPr>
          <w:rFonts w:ascii="Times New Roman" w:hAnsi="Times New Roman" w:cs="Times New Roman"/>
          <w:sz w:val="24"/>
          <w:szCs w:val="24"/>
        </w:rPr>
        <w:t xml:space="preserve"> subject 13</w:t>
      </w:r>
      <w:r w:rsidR="0040099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00992">
        <w:rPr>
          <w:rFonts w:ascii="Times New Roman" w:hAnsi="Times New Roman" w:cs="Times New Roman"/>
          <w:sz w:val="24"/>
          <w:szCs w:val="24"/>
        </w:rPr>
        <w:t>Average</w:t>
      </w:r>
    </w:p>
    <w:p w:rsidR="00400992" w:rsidRDefault="00400992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B558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D5" w:rsidRDefault="00691CD5" w:rsidP="009569D7">
      <w:pPr>
        <w:spacing w:after="0" w:line="240" w:lineRule="auto"/>
      </w:pPr>
      <w:r>
        <w:separator/>
      </w:r>
    </w:p>
  </w:endnote>
  <w:endnote w:type="continuationSeparator" w:id="0">
    <w:p w:rsidR="00691CD5" w:rsidRDefault="00691CD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D5" w:rsidRDefault="00691CD5" w:rsidP="009569D7">
      <w:pPr>
        <w:spacing w:after="0" w:line="240" w:lineRule="auto"/>
      </w:pPr>
      <w:r>
        <w:separator/>
      </w:r>
    </w:p>
  </w:footnote>
  <w:footnote w:type="continuationSeparator" w:id="0">
    <w:p w:rsidR="00691CD5" w:rsidRDefault="00691CD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269F"/>
    <w:rsid w:val="000C56B1"/>
    <w:rsid w:val="000C5CB0"/>
    <w:rsid w:val="000C6E53"/>
    <w:rsid w:val="000D16A3"/>
    <w:rsid w:val="000D2517"/>
    <w:rsid w:val="000D46C5"/>
    <w:rsid w:val="000D6005"/>
    <w:rsid w:val="000D664F"/>
    <w:rsid w:val="000E2BCC"/>
    <w:rsid w:val="000E5275"/>
    <w:rsid w:val="000F2761"/>
    <w:rsid w:val="000F301F"/>
    <w:rsid w:val="000F4327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40A2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1BB8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A703B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2686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0992"/>
    <w:rsid w:val="00403305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923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1CD5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078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BBB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331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1FD2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97FFA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253E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357F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239C9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61EC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585"/>
    <w:rsid w:val="00AB5B0C"/>
    <w:rsid w:val="00AB64C8"/>
    <w:rsid w:val="00AB691B"/>
    <w:rsid w:val="00AB69D1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764"/>
    <w:rsid w:val="00B45248"/>
    <w:rsid w:val="00B464DC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0542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1FE9"/>
    <w:rsid w:val="00D95037"/>
    <w:rsid w:val="00D95DAB"/>
    <w:rsid w:val="00D973CE"/>
    <w:rsid w:val="00DA49AE"/>
    <w:rsid w:val="00DA63B7"/>
    <w:rsid w:val="00DB11C2"/>
    <w:rsid w:val="00DB15FD"/>
    <w:rsid w:val="00DB1A34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5655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'Seventh Sem'!$B$68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Sem'!$C$67:$O$67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Sem'!$C$68:$O$68</c:f>
              <c:numCache>
                <c:formatCode>0</c:formatCode>
                <c:ptCount val="13"/>
                <c:pt idx="0">
                  <c:v>11.111111111111105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'Seventh Sem'!$B$69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Sem'!$C$67:$O$67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Sem'!$C$69:$O$69</c:f>
              <c:numCache>
                <c:formatCode>0</c:formatCode>
                <c:ptCount val="13"/>
                <c:pt idx="0">
                  <c:v>38.888888888888893</c:v>
                </c:pt>
                <c:pt idx="1">
                  <c:v>26.829268292682933</c:v>
                </c:pt>
                <c:pt idx="2">
                  <c:v>66.666666666666657</c:v>
                </c:pt>
                <c:pt idx="3">
                  <c:v>3.8461538461538463</c:v>
                </c:pt>
                <c:pt idx="4">
                  <c:v>46.808510638297882</c:v>
                </c:pt>
                <c:pt idx="5">
                  <c:v>35</c:v>
                </c:pt>
                <c:pt idx="6">
                  <c:v>0</c:v>
                </c:pt>
                <c:pt idx="7">
                  <c:v>42.85714285714284</c:v>
                </c:pt>
                <c:pt idx="8">
                  <c:v>0</c:v>
                </c:pt>
                <c:pt idx="9">
                  <c:v>0</c:v>
                </c:pt>
                <c:pt idx="10">
                  <c:v>46.666666666666636</c:v>
                </c:pt>
                <c:pt idx="11">
                  <c:v>0</c:v>
                </c:pt>
                <c:pt idx="12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'Seventh Sem'!$B$70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Sem'!$C$67:$O$67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Sem'!$C$70:$O$70</c:f>
              <c:numCache>
                <c:formatCode>0</c:formatCode>
                <c:ptCount val="13"/>
                <c:pt idx="0">
                  <c:v>47.222222222222236</c:v>
                </c:pt>
                <c:pt idx="1">
                  <c:v>63.414634146341442</c:v>
                </c:pt>
                <c:pt idx="2">
                  <c:v>33.333333333333329</c:v>
                </c:pt>
                <c:pt idx="3">
                  <c:v>96.153846153846104</c:v>
                </c:pt>
                <c:pt idx="4">
                  <c:v>46.808510638297882</c:v>
                </c:pt>
                <c:pt idx="5">
                  <c:v>10</c:v>
                </c:pt>
                <c:pt idx="6">
                  <c:v>100</c:v>
                </c:pt>
                <c:pt idx="7">
                  <c:v>50</c:v>
                </c:pt>
                <c:pt idx="8">
                  <c:v>100</c:v>
                </c:pt>
                <c:pt idx="9">
                  <c:v>0</c:v>
                </c:pt>
                <c:pt idx="10">
                  <c:v>26.666666666666668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ser>
          <c:idx val="3"/>
          <c:order val="3"/>
          <c:tx>
            <c:strRef>
              <c:f>'Seventh Sem'!$B$71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Sem'!$C$67:$O$67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Sem'!$C$71:$O$71</c:f>
              <c:numCache>
                <c:formatCode>0</c:formatCode>
                <c:ptCount val="13"/>
                <c:pt idx="0">
                  <c:v>2.7777777777777799</c:v>
                </c:pt>
                <c:pt idx="1">
                  <c:v>9.7560975609756095</c:v>
                </c:pt>
                <c:pt idx="2">
                  <c:v>0</c:v>
                </c:pt>
                <c:pt idx="3">
                  <c:v>0</c:v>
                </c:pt>
                <c:pt idx="4">
                  <c:v>6.3829787234042552</c:v>
                </c:pt>
                <c:pt idx="5">
                  <c:v>40</c:v>
                </c:pt>
                <c:pt idx="6">
                  <c:v>0</c:v>
                </c:pt>
                <c:pt idx="7">
                  <c:v>7.1428571428571415</c:v>
                </c:pt>
                <c:pt idx="8">
                  <c:v>0</c:v>
                </c:pt>
                <c:pt idx="9">
                  <c:v>0</c:v>
                </c:pt>
                <c:pt idx="10">
                  <c:v>26.666666666666668</c:v>
                </c:pt>
                <c:pt idx="11">
                  <c:v>50</c:v>
                </c:pt>
                <c:pt idx="12">
                  <c:v>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0582144"/>
        <c:axId val="210592128"/>
        <c:axId val="0"/>
      </c:bar3DChart>
      <c:catAx>
        <c:axId val="210582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0592128"/>
        <c:crosses val="autoZero"/>
        <c:auto val="1"/>
        <c:lblAlgn val="ctr"/>
        <c:lblOffset val="100"/>
        <c:noMultiLvlLbl val="0"/>
      </c:catAx>
      <c:valAx>
        <c:axId val="2105921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105821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'Seventh Sem'!$Q$68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Sem'!$R$67:$AD$67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Sem'!$R$68:$AD$68</c:f>
              <c:numCache>
                <c:formatCode>0</c:formatCode>
                <c:ptCount val="13"/>
                <c:pt idx="0">
                  <c:v>1.3888888888888893</c:v>
                </c:pt>
                <c:pt idx="1">
                  <c:v>0</c:v>
                </c:pt>
                <c:pt idx="2">
                  <c:v>0</c:v>
                </c:pt>
                <c:pt idx="3">
                  <c:v>11.666666666666671</c:v>
                </c:pt>
                <c:pt idx="4">
                  <c:v>16.666666666666664</c:v>
                </c:pt>
                <c:pt idx="5">
                  <c:v>0</c:v>
                </c:pt>
                <c:pt idx="6">
                  <c:v>0</c:v>
                </c:pt>
                <c:pt idx="7">
                  <c:v>1.6666666666666667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33.333333333333329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'Seventh Sem'!$Q$69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Sem'!$R$67:$AD$67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Sem'!$R$69:$AD$69</c:f>
              <c:numCache>
                <c:formatCode>0</c:formatCode>
                <c:ptCount val="13"/>
                <c:pt idx="0">
                  <c:v>62.5</c:v>
                </c:pt>
                <c:pt idx="1">
                  <c:v>52.777777777777779</c:v>
                </c:pt>
                <c:pt idx="2">
                  <c:v>100</c:v>
                </c:pt>
                <c:pt idx="3">
                  <c:v>53.333333333333336</c:v>
                </c:pt>
                <c:pt idx="4">
                  <c:v>40.476190476190474</c:v>
                </c:pt>
                <c:pt idx="5">
                  <c:v>22.222222222222207</c:v>
                </c:pt>
                <c:pt idx="6">
                  <c:v>36.111111111111107</c:v>
                </c:pt>
                <c:pt idx="7">
                  <c:v>21.666666666666668</c:v>
                </c:pt>
                <c:pt idx="8">
                  <c:v>75</c:v>
                </c:pt>
                <c:pt idx="9">
                  <c:v>58.333333333333336</c:v>
                </c:pt>
                <c:pt idx="10">
                  <c:v>54.166666666666636</c:v>
                </c:pt>
                <c:pt idx="11">
                  <c:v>50</c:v>
                </c:pt>
                <c:pt idx="12">
                  <c:v>66.666666666666657</c:v>
                </c:pt>
              </c:numCache>
            </c:numRef>
          </c:val>
        </c:ser>
        <c:ser>
          <c:idx val="2"/>
          <c:order val="2"/>
          <c:tx>
            <c:strRef>
              <c:f>'Seventh Sem'!$Q$70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Sem'!$R$67:$AD$67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Sem'!$R$70:$AD$70</c:f>
              <c:numCache>
                <c:formatCode>0</c:formatCode>
                <c:ptCount val="13"/>
                <c:pt idx="0">
                  <c:v>33.333333333333329</c:v>
                </c:pt>
                <c:pt idx="1">
                  <c:v>38.888888888888893</c:v>
                </c:pt>
                <c:pt idx="2">
                  <c:v>0</c:v>
                </c:pt>
                <c:pt idx="3">
                  <c:v>31.666666666666664</c:v>
                </c:pt>
                <c:pt idx="4">
                  <c:v>40.476190476190474</c:v>
                </c:pt>
                <c:pt idx="5">
                  <c:v>66.666666666666657</c:v>
                </c:pt>
                <c:pt idx="6">
                  <c:v>44.444444444444414</c:v>
                </c:pt>
                <c:pt idx="7">
                  <c:v>48.333333333333336</c:v>
                </c:pt>
                <c:pt idx="8">
                  <c:v>25</c:v>
                </c:pt>
                <c:pt idx="9">
                  <c:v>33.333333333333329</c:v>
                </c:pt>
                <c:pt idx="10">
                  <c:v>45.833333333333329</c:v>
                </c:pt>
                <c:pt idx="11">
                  <c:v>16.666666666666664</c:v>
                </c:pt>
                <c:pt idx="12">
                  <c:v>27.777777777777779</c:v>
                </c:pt>
              </c:numCache>
            </c:numRef>
          </c:val>
        </c:ser>
        <c:ser>
          <c:idx val="3"/>
          <c:order val="3"/>
          <c:tx>
            <c:strRef>
              <c:f>'Seventh Sem'!$Q$71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Sem'!$R$67:$AD$67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Sem'!$R$71:$AD$71</c:f>
              <c:numCache>
                <c:formatCode>0</c:formatCode>
                <c:ptCount val="13"/>
                <c:pt idx="0">
                  <c:v>2.7777777777777799</c:v>
                </c:pt>
                <c:pt idx="1">
                  <c:v>8.3333333333333321</c:v>
                </c:pt>
                <c:pt idx="2">
                  <c:v>0</c:v>
                </c:pt>
                <c:pt idx="3">
                  <c:v>3.3333333333333335</c:v>
                </c:pt>
                <c:pt idx="4">
                  <c:v>2.3809523809523809</c:v>
                </c:pt>
                <c:pt idx="5">
                  <c:v>11.111111111111105</c:v>
                </c:pt>
                <c:pt idx="6">
                  <c:v>19.444444444444446</c:v>
                </c:pt>
                <c:pt idx="7">
                  <c:v>28.333333333333318</c:v>
                </c:pt>
                <c:pt idx="8">
                  <c:v>0</c:v>
                </c:pt>
                <c:pt idx="9">
                  <c:v>8.3333333333333321</c:v>
                </c:pt>
                <c:pt idx="10">
                  <c:v>0</c:v>
                </c:pt>
                <c:pt idx="11">
                  <c:v>0</c:v>
                </c:pt>
                <c:pt idx="12">
                  <c:v>5.5555555555555518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0901248"/>
        <c:axId val="210907136"/>
        <c:axId val="0"/>
      </c:bar3DChart>
      <c:catAx>
        <c:axId val="210901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0907136"/>
        <c:crosses val="autoZero"/>
        <c:auto val="1"/>
        <c:lblAlgn val="ctr"/>
        <c:lblOffset val="100"/>
        <c:noMultiLvlLbl val="0"/>
      </c:catAx>
      <c:valAx>
        <c:axId val="2109071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109012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'Seventh Sem'!$AF$68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Sem'!$AG$67:$AS$67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Sem'!$AG$68:$AS$68</c:f>
              <c:numCache>
                <c:formatCode>0</c:formatCode>
                <c:ptCount val="13"/>
                <c:pt idx="0">
                  <c:v>12.5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21.428571428571427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25</c:v>
                </c:pt>
                <c:pt idx="9">
                  <c:v>0</c:v>
                </c:pt>
                <c:pt idx="10">
                  <c:v>0</c:v>
                </c:pt>
                <c:pt idx="11">
                  <c:v>25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'Seventh Sem'!$AF$69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Sem'!$AG$67:$AS$67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Sem'!$AG$69:$AS$69</c:f>
              <c:numCache>
                <c:formatCode>0</c:formatCode>
                <c:ptCount val="13"/>
                <c:pt idx="0">
                  <c:v>45.833333333333329</c:v>
                </c:pt>
                <c:pt idx="1">
                  <c:v>62.5</c:v>
                </c:pt>
                <c:pt idx="2">
                  <c:v>100</c:v>
                </c:pt>
                <c:pt idx="3">
                  <c:v>55.000000000000007</c:v>
                </c:pt>
                <c:pt idx="4">
                  <c:v>28.571428571428569</c:v>
                </c:pt>
                <c:pt idx="5">
                  <c:v>16.666666666666664</c:v>
                </c:pt>
                <c:pt idx="6">
                  <c:v>0</c:v>
                </c:pt>
                <c:pt idx="7">
                  <c:v>30</c:v>
                </c:pt>
                <c:pt idx="8">
                  <c:v>50</c:v>
                </c:pt>
                <c:pt idx="9">
                  <c:v>75</c:v>
                </c:pt>
                <c:pt idx="10">
                  <c:v>50</c:v>
                </c:pt>
                <c:pt idx="11">
                  <c:v>75</c:v>
                </c:pt>
                <c:pt idx="12">
                  <c:v>75</c:v>
                </c:pt>
              </c:numCache>
            </c:numRef>
          </c:val>
        </c:ser>
        <c:ser>
          <c:idx val="2"/>
          <c:order val="2"/>
          <c:tx>
            <c:strRef>
              <c:f>'Seventh Sem'!$AF$70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Sem'!$AG$67:$AS$67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Sem'!$AG$70:$AS$70</c:f>
              <c:numCache>
                <c:formatCode>0</c:formatCode>
                <c:ptCount val="13"/>
                <c:pt idx="0">
                  <c:v>37.5</c:v>
                </c:pt>
                <c:pt idx="1">
                  <c:v>29.166666666666668</c:v>
                </c:pt>
                <c:pt idx="2">
                  <c:v>0</c:v>
                </c:pt>
                <c:pt idx="3">
                  <c:v>30</c:v>
                </c:pt>
                <c:pt idx="4">
                  <c:v>50</c:v>
                </c:pt>
                <c:pt idx="5">
                  <c:v>66.666666666666657</c:v>
                </c:pt>
                <c:pt idx="6">
                  <c:v>66.666666666666657</c:v>
                </c:pt>
                <c:pt idx="7">
                  <c:v>40</c:v>
                </c:pt>
                <c:pt idx="8">
                  <c:v>25</c:v>
                </c:pt>
                <c:pt idx="9">
                  <c:v>25</c:v>
                </c:pt>
                <c:pt idx="10">
                  <c:v>50</c:v>
                </c:pt>
                <c:pt idx="11">
                  <c:v>0</c:v>
                </c:pt>
                <c:pt idx="12">
                  <c:v>25</c:v>
                </c:pt>
              </c:numCache>
            </c:numRef>
          </c:val>
        </c:ser>
        <c:ser>
          <c:idx val="3"/>
          <c:order val="3"/>
          <c:tx>
            <c:strRef>
              <c:f>'Seventh Sem'!$AF$71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Sem'!$AG$67:$AS$67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Sem'!$AG$71:$AS$71</c:f>
              <c:numCache>
                <c:formatCode>0</c:formatCode>
                <c:ptCount val="13"/>
                <c:pt idx="0">
                  <c:v>4.1666666666666661</c:v>
                </c:pt>
                <c:pt idx="1">
                  <c:v>8.3333333333333321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16.666666666666664</c:v>
                </c:pt>
                <c:pt idx="6">
                  <c:v>33.333333333333329</c:v>
                </c:pt>
                <c:pt idx="7">
                  <c:v>30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0941440"/>
        <c:axId val="210942976"/>
        <c:axId val="0"/>
      </c:bar3DChart>
      <c:catAx>
        <c:axId val="21094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0942976"/>
        <c:crosses val="autoZero"/>
        <c:auto val="1"/>
        <c:lblAlgn val="ctr"/>
        <c:lblOffset val="100"/>
        <c:noMultiLvlLbl val="0"/>
      </c:catAx>
      <c:valAx>
        <c:axId val="2109429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109414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'Seventh Sem'!$AU$68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Sem'!$AV$67:$BH$67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Sem'!$AV$68:$BH$68</c:f>
              <c:numCache>
                <c:formatCode>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19.04761904761904</c:v>
                </c:pt>
                <c:pt idx="5">
                  <c:v>0</c:v>
                </c:pt>
                <c:pt idx="6">
                  <c:v>0</c:v>
                </c:pt>
                <c:pt idx="7">
                  <c:v>13.333333333333334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33.333333333333329</c:v>
                </c:pt>
                <c:pt idx="12">
                  <c:v>11.111111111111105</c:v>
                </c:pt>
              </c:numCache>
            </c:numRef>
          </c:val>
        </c:ser>
        <c:ser>
          <c:idx val="1"/>
          <c:order val="1"/>
          <c:tx>
            <c:strRef>
              <c:f>'Seventh Sem'!$AU$69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Sem'!$AV$67:$BH$67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Sem'!$AV$69:$BH$69</c:f>
              <c:numCache>
                <c:formatCode>0</c:formatCode>
                <c:ptCount val="13"/>
                <c:pt idx="0">
                  <c:v>83.333333333333314</c:v>
                </c:pt>
                <c:pt idx="1">
                  <c:v>33.333333333333329</c:v>
                </c:pt>
                <c:pt idx="2">
                  <c:v>50</c:v>
                </c:pt>
                <c:pt idx="3">
                  <c:v>40</c:v>
                </c:pt>
                <c:pt idx="4">
                  <c:v>33.333333333333329</c:v>
                </c:pt>
                <c:pt idx="5">
                  <c:v>11.111111111111105</c:v>
                </c:pt>
                <c:pt idx="6">
                  <c:v>33.333333333333329</c:v>
                </c:pt>
                <c:pt idx="7">
                  <c:v>20</c:v>
                </c:pt>
                <c:pt idx="8">
                  <c:v>72.727272727272734</c:v>
                </c:pt>
                <c:pt idx="9">
                  <c:v>33.333333333333329</c:v>
                </c:pt>
                <c:pt idx="10">
                  <c:v>66.666666666666657</c:v>
                </c:pt>
                <c:pt idx="11">
                  <c:v>66.666666666666657</c:v>
                </c:pt>
                <c:pt idx="12">
                  <c:v>55.555555555555557</c:v>
                </c:pt>
              </c:numCache>
            </c:numRef>
          </c:val>
        </c:ser>
        <c:ser>
          <c:idx val="2"/>
          <c:order val="2"/>
          <c:tx>
            <c:strRef>
              <c:f>'Seventh Sem'!$AU$70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Sem'!$AV$67:$BH$67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Sem'!$AV$70:$BH$70</c:f>
              <c:numCache>
                <c:formatCode>0</c:formatCode>
                <c:ptCount val="13"/>
                <c:pt idx="0">
                  <c:v>16.666666666666664</c:v>
                </c:pt>
                <c:pt idx="1">
                  <c:v>61.111111111111114</c:v>
                </c:pt>
                <c:pt idx="2">
                  <c:v>50</c:v>
                </c:pt>
                <c:pt idx="3">
                  <c:v>46.666666666666636</c:v>
                </c:pt>
                <c:pt idx="4">
                  <c:v>38.095238095238102</c:v>
                </c:pt>
                <c:pt idx="5">
                  <c:v>66.666666666666657</c:v>
                </c:pt>
                <c:pt idx="6">
                  <c:v>33.333333333333329</c:v>
                </c:pt>
                <c:pt idx="7">
                  <c:v>40</c:v>
                </c:pt>
                <c:pt idx="8">
                  <c:v>22.72727272727273</c:v>
                </c:pt>
                <c:pt idx="9">
                  <c:v>33.333333333333329</c:v>
                </c:pt>
                <c:pt idx="10">
                  <c:v>33.333333333333329</c:v>
                </c:pt>
                <c:pt idx="11">
                  <c:v>0</c:v>
                </c:pt>
                <c:pt idx="12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'Seventh Sem'!$AU$71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'Seventh Sem'!$AV$67:$BH$67</c:f>
              <c:strCache>
                <c:ptCount val="1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  <c:pt idx="9">
                  <c:v>Sub10</c:v>
                </c:pt>
                <c:pt idx="10">
                  <c:v>Sub11</c:v>
                </c:pt>
                <c:pt idx="11">
                  <c:v>Sub12</c:v>
                </c:pt>
                <c:pt idx="12">
                  <c:v>Sub13</c:v>
                </c:pt>
              </c:strCache>
            </c:strRef>
          </c:cat>
          <c:val>
            <c:numRef>
              <c:f>'Seventh Sem'!$AV$71:$BH$71</c:f>
              <c:numCache>
                <c:formatCode>0</c:formatCode>
                <c:ptCount val="13"/>
                <c:pt idx="0">
                  <c:v>0</c:v>
                </c:pt>
                <c:pt idx="1">
                  <c:v>5.5555555555555518</c:v>
                </c:pt>
                <c:pt idx="2">
                  <c:v>0</c:v>
                </c:pt>
                <c:pt idx="3">
                  <c:v>13.333333333333334</c:v>
                </c:pt>
                <c:pt idx="4">
                  <c:v>9.5238095238095237</c:v>
                </c:pt>
                <c:pt idx="5">
                  <c:v>22.222222222222207</c:v>
                </c:pt>
                <c:pt idx="6">
                  <c:v>33.333333333333329</c:v>
                </c:pt>
                <c:pt idx="7">
                  <c:v>26.666666666666668</c:v>
                </c:pt>
                <c:pt idx="8">
                  <c:v>4.5454545454545459</c:v>
                </c:pt>
                <c:pt idx="9">
                  <c:v>33.333333333333329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117184"/>
        <c:axId val="211118720"/>
        <c:axId val="0"/>
      </c:bar3DChart>
      <c:catAx>
        <c:axId val="211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1118720"/>
        <c:crosses val="autoZero"/>
        <c:auto val="1"/>
        <c:lblAlgn val="ctr"/>
        <c:lblOffset val="100"/>
        <c:noMultiLvlLbl val="0"/>
      </c:catAx>
      <c:valAx>
        <c:axId val="2111187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111171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B275-5C58-443E-B6F2-59036EF5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2018-06-28T07:01:00Z</dcterms:created>
  <dcterms:modified xsi:type="dcterms:W3CDTF">2018-10-16T10:02:00Z</dcterms:modified>
</cp:coreProperties>
</file>